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227" w:rsidRDefault="00440227" w:rsidP="00D95EA6">
      <w:pPr>
        <w:spacing w:after="0" w:line="240" w:lineRule="auto"/>
        <w:jc w:val="center"/>
        <w:rPr>
          <w:rFonts w:cstheme="minorHAnsi"/>
          <w:b/>
          <w:smallCaps/>
          <w:sz w:val="24"/>
          <w:szCs w:val="24"/>
        </w:rPr>
      </w:pPr>
    </w:p>
    <w:p w:rsidR="00241430" w:rsidRPr="00CD52B2" w:rsidRDefault="00440227" w:rsidP="00D95EA6">
      <w:pPr>
        <w:spacing w:after="0" w:line="240" w:lineRule="auto"/>
        <w:jc w:val="center"/>
        <w:rPr>
          <w:rFonts w:cstheme="minorHAnsi"/>
          <w:b/>
        </w:rPr>
      </w:pPr>
      <w:r>
        <w:rPr>
          <w:rFonts w:cstheme="minorHAnsi"/>
          <w:b/>
        </w:rPr>
        <w:t xml:space="preserve">WTAMU </w:t>
      </w:r>
      <w:r w:rsidR="00D95EA6">
        <w:rPr>
          <w:rFonts w:cstheme="minorHAnsi"/>
          <w:b/>
        </w:rPr>
        <w:t xml:space="preserve">Core Curriculum </w:t>
      </w:r>
      <w:r w:rsidR="00081AD4" w:rsidRPr="00CD52B2">
        <w:rPr>
          <w:rFonts w:cstheme="minorHAnsi"/>
          <w:b/>
        </w:rPr>
        <w:t>Guidelines</w:t>
      </w:r>
    </w:p>
    <w:p w:rsidR="00535E14" w:rsidRPr="003D034B" w:rsidRDefault="00535E14" w:rsidP="00D95EA6">
      <w:pPr>
        <w:spacing w:after="0" w:line="240" w:lineRule="auto"/>
        <w:rPr>
          <w:rFonts w:cstheme="minorHAnsi"/>
        </w:rPr>
      </w:pPr>
    </w:p>
    <w:p w:rsidR="00D95EA6" w:rsidRPr="00D95EA6" w:rsidRDefault="00D95EA6" w:rsidP="00D95EA6">
      <w:pPr>
        <w:spacing w:after="0" w:line="240" w:lineRule="auto"/>
        <w:rPr>
          <w:rFonts w:eastAsia="Times New Roman" w:cs="Times New Roman"/>
        </w:rPr>
      </w:pPr>
      <w:r w:rsidRPr="003D034B">
        <w:rPr>
          <w:rFonts w:eastAsia="Times New Roman" w:cs="Times New Roman"/>
          <w:b/>
          <w:bCs/>
        </w:rPr>
        <w:t>Statement of Purpose</w:t>
      </w:r>
      <w:r w:rsidRPr="00D95EA6">
        <w:rPr>
          <w:rFonts w:eastAsia="Times New Roman" w:cs="Times New Roman"/>
        </w:rPr>
        <w:t xml:space="preserve"> </w:t>
      </w:r>
    </w:p>
    <w:p w:rsidR="00D95EA6" w:rsidRDefault="00D95EA6" w:rsidP="00D95EA6">
      <w:pPr>
        <w:spacing w:after="0" w:line="240" w:lineRule="auto"/>
      </w:pPr>
      <w:r w:rsidRPr="00D95EA6">
        <w:rPr>
          <w:rFonts w:eastAsia="Times New Roman" w:cs="Times New Roman"/>
        </w:rPr>
        <w:t>Through the Texas Core Curriculum</w:t>
      </w:r>
      <w:r w:rsidR="0042327F">
        <w:rPr>
          <w:rFonts w:eastAsia="Times New Roman" w:cs="Times New Roman"/>
        </w:rPr>
        <w:t xml:space="preserve"> (TCC)</w:t>
      </w:r>
      <w:r w:rsidRPr="00D95EA6">
        <w:rPr>
          <w:rFonts w:eastAsia="Times New Roman" w:cs="Times New Roman"/>
        </w:rPr>
        <w:t xml:space="preserve">, students will gain a foundation of knowledge of human cultures and the physical and natural world, develop principles of personal and social responsibility for living in a diverse world, and advance intellectual and practical skills that are essential for all learning. </w:t>
      </w:r>
      <w:r w:rsidRPr="003D034B">
        <w:t xml:space="preserve">Each institution's TCC includes six core objectives and nine </w:t>
      </w:r>
      <w:r w:rsidR="00DC5B9F">
        <w:t>foundational</w:t>
      </w:r>
      <w:r w:rsidRPr="003D034B">
        <w:t xml:space="preserve"> component areas.</w:t>
      </w:r>
    </w:p>
    <w:p w:rsidR="00D6557C" w:rsidRDefault="00D6557C" w:rsidP="00D6557C">
      <w:pPr>
        <w:spacing w:after="0" w:line="240" w:lineRule="auto"/>
        <w:rPr>
          <w:rFonts w:eastAsia="Times New Roman" w:cs="Times New Roman"/>
          <w:b/>
          <w:bCs/>
        </w:rPr>
      </w:pPr>
    </w:p>
    <w:p w:rsidR="00D6557C" w:rsidRDefault="00D6557C" w:rsidP="00D6557C">
      <w:pPr>
        <w:spacing w:after="0" w:line="240" w:lineRule="auto"/>
        <w:rPr>
          <w:rFonts w:eastAsia="Times New Roman" w:cs="Times New Roman"/>
        </w:rPr>
      </w:pPr>
      <w:r w:rsidRPr="003D034B">
        <w:rPr>
          <w:rFonts w:eastAsia="Times New Roman" w:cs="Times New Roman"/>
          <w:b/>
          <w:bCs/>
        </w:rPr>
        <w:t>Core Objectives</w:t>
      </w:r>
      <w:r w:rsidRPr="00D95EA6">
        <w:rPr>
          <w:rFonts w:eastAsia="Times New Roman" w:cs="Times New Roman"/>
        </w:rPr>
        <w:t xml:space="preserve"> </w:t>
      </w:r>
    </w:p>
    <w:p w:rsidR="00D6557C" w:rsidRPr="00D95EA6" w:rsidRDefault="00D6557C" w:rsidP="00D6557C">
      <w:pPr>
        <w:spacing w:after="0" w:line="240" w:lineRule="auto"/>
        <w:rPr>
          <w:rFonts w:eastAsia="Times New Roman" w:cs="Times New Roman"/>
        </w:rPr>
      </w:pPr>
      <w:r w:rsidRPr="003D034B">
        <w:rPr>
          <w:rFonts w:eastAsia="Times New Roman" w:cs="Times New Roman"/>
        </w:rPr>
        <w:t>Each core curriculum course must include three or four, out of six, core objectives. Definitions for the six core objectives for the TCC are as follows:</w:t>
      </w:r>
    </w:p>
    <w:p w:rsidR="00D6557C" w:rsidRPr="00D95EA6" w:rsidRDefault="00D6557C" w:rsidP="00440A0D">
      <w:pPr>
        <w:numPr>
          <w:ilvl w:val="0"/>
          <w:numId w:val="4"/>
        </w:numPr>
        <w:spacing w:after="0" w:line="240" w:lineRule="auto"/>
        <w:rPr>
          <w:rFonts w:eastAsia="Times New Roman" w:cs="Times New Roman"/>
        </w:rPr>
      </w:pPr>
      <w:r w:rsidRPr="003D034B">
        <w:rPr>
          <w:rFonts w:eastAsia="Times New Roman" w:cs="Times New Roman"/>
          <w:b/>
          <w:bCs/>
        </w:rPr>
        <w:t>Critical Thinking Skills (CT)</w:t>
      </w:r>
      <w:r w:rsidRPr="00D95EA6">
        <w:rPr>
          <w:rFonts w:eastAsia="Times New Roman" w:cs="Times New Roman"/>
        </w:rPr>
        <w:t xml:space="preserve"> - creative thinking, innovation, inquiry, and analysis, evaluation and synthesis of information</w:t>
      </w:r>
    </w:p>
    <w:p w:rsidR="00D6557C" w:rsidRPr="00D95EA6" w:rsidRDefault="00D6557C" w:rsidP="00440A0D">
      <w:pPr>
        <w:numPr>
          <w:ilvl w:val="0"/>
          <w:numId w:val="4"/>
        </w:numPr>
        <w:spacing w:after="0" w:line="240" w:lineRule="auto"/>
        <w:rPr>
          <w:rFonts w:eastAsia="Times New Roman" w:cs="Times New Roman"/>
        </w:rPr>
      </w:pPr>
      <w:r w:rsidRPr="003D034B">
        <w:rPr>
          <w:rFonts w:eastAsia="Times New Roman" w:cs="Times New Roman"/>
          <w:b/>
          <w:bCs/>
        </w:rPr>
        <w:t>Communication Skills (COM)</w:t>
      </w:r>
      <w:r w:rsidRPr="00D95EA6">
        <w:rPr>
          <w:rFonts w:eastAsia="Times New Roman" w:cs="Times New Roman"/>
        </w:rPr>
        <w:t xml:space="preserve"> - effective development, interpretation and expression of ideas through written, oral and visual communication</w:t>
      </w:r>
    </w:p>
    <w:p w:rsidR="00D6557C" w:rsidRPr="00D95EA6" w:rsidRDefault="00D6557C" w:rsidP="00440A0D">
      <w:pPr>
        <w:numPr>
          <w:ilvl w:val="0"/>
          <w:numId w:val="4"/>
        </w:numPr>
        <w:spacing w:after="0" w:line="240" w:lineRule="auto"/>
        <w:rPr>
          <w:rFonts w:eastAsia="Times New Roman" w:cs="Times New Roman"/>
        </w:rPr>
      </w:pPr>
      <w:r w:rsidRPr="003D034B">
        <w:rPr>
          <w:rFonts w:eastAsia="Times New Roman" w:cs="Times New Roman"/>
          <w:b/>
          <w:bCs/>
        </w:rPr>
        <w:t>Empirical and Quantitative Skills (EQS)</w:t>
      </w:r>
      <w:r w:rsidRPr="00D95EA6">
        <w:rPr>
          <w:rFonts w:eastAsia="Times New Roman" w:cs="Times New Roman"/>
        </w:rPr>
        <w:t xml:space="preserve"> - manipulation and analysis of numerical data or observable facts resulting in informed conclusions</w:t>
      </w:r>
    </w:p>
    <w:p w:rsidR="00D6557C" w:rsidRPr="00D95EA6" w:rsidRDefault="00D6557C" w:rsidP="00440A0D">
      <w:pPr>
        <w:numPr>
          <w:ilvl w:val="0"/>
          <w:numId w:val="4"/>
        </w:numPr>
        <w:spacing w:after="0" w:line="240" w:lineRule="auto"/>
        <w:rPr>
          <w:rFonts w:eastAsia="Times New Roman" w:cs="Times New Roman"/>
        </w:rPr>
      </w:pPr>
      <w:r w:rsidRPr="003D034B">
        <w:rPr>
          <w:rFonts w:eastAsia="Times New Roman" w:cs="Times New Roman"/>
          <w:b/>
          <w:bCs/>
        </w:rPr>
        <w:t>Teamwork (TW)</w:t>
      </w:r>
      <w:r w:rsidRPr="00D95EA6">
        <w:rPr>
          <w:rFonts w:eastAsia="Times New Roman" w:cs="Times New Roman"/>
        </w:rPr>
        <w:t xml:space="preserve"> - ability to consider different points of view and to work effectively with others to support a shared purpose or goal</w:t>
      </w:r>
    </w:p>
    <w:p w:rsidR="00D6557C" w:rsidRPr="00D95EA6" w:rsidRDefault="00D6557C" w:rsidP="00440A0D">
      <w:pPr>
        <w:numPr>
          <w:ilvl w:val="0"/>
          <w:numId w:val="4"/>
        </w:numPr>
        <w:spacing w:after="0" w:line="240" w:lineRule="auto"/>
        <w:rPr>
          <w:rFonts w:eastAsia="Times New Roman" w:cs="Times New Roman"/>
        </w:rPr>
      </w:pPr>
      <w:r w:rsidRPr="003D034B">
        <w:rPr>
          <w:rFonts w:eastAsia="Times New Roman" w:cs="Times New Roman"/>
          <w:b/>
          <w:bCs/>
        </w:rPr>
        <w:t>Social Responsibility</w:t>
      </w:r>
      <w:r w:rsidR="00E86198">
        <w:rPr>
          <w:rFonts w:eastAsia="Times New Roman" w:cs="Times New Roman"/>
          <w:b/>
          <w:bCs/>
        </w:rPr>
        <w:t xml:space="preserve"> </w:t>
      </w:r>
      <w:r w:rsidRPr="003D034B">
        <w:rPr>
          <w:rFonts w:eastAsia="Times New Roman" w:cs="Times New Roman"/>
          <w:b/>
          <w:bCs/>
        </w:rPr>
        <w:t>(SR)</w:t>
      </w:r>
      <w:r w:rsidRPr="00D95EA6">
        <w:rPr>
          <w:rFonts w:eastAsia="Times New Roman" w:cs="Times New Roman"/>
        </w:rPr>
        <w:t xml:space="preserve"> - intercultural competence, knowledge of civic responsibility, and the ability to engage effectively in regional, national, and global communities</w:t>
      </w:r>
    </w:p>
    <w:p w:rsidR="00D6557C" w:rsidRPr="003D034B" w:rsidRDefault="00D6557C" w:rsidP="00440A0D">
      <w:pPr>
        <w:numPr>
          <w:ilvl w:val="0"/>
          <w:numId w:val="4"/>
        </w:numPr>
        <w:spacing w:after="0" w:line="240" w:lineRule="auto"/>
        <w:rPr>
          <w:rFonts w:eastAsia="Times New Roman" w:cs="Times New Roman"/>
        </w:rPr>
      </w:pPr>
      <w:r w:rsidRPr="003D034B">
        <w:rPr>
          <w:rFonts w:eastAsia="Times New Roman" w:cs="Times New Roman"/>
          <w:b/>
          <w:bCs/>
        </w:rPr>
        <w:t>Personal Responsibility (PR)</w:t>
      </w:r>
      <w:r w:rsidRPr="00D95EA6">
        <w:rPr>
          <w:rFonts w:eastAsia="Times New Roman" w:cs="Times New Roman"/>
        </w:rPr>
        <w:t xml:space="preserve"> - ability to connect choices, actions and consequences to ethical decision-making </w:t>
      </w:r>
    </w:p>
    <w:p w:rsidR="00D6557C" w:rsidRPr="00D95EA6" w:rsidRDefault="00D6557C" w:rsidP="00D6557C">
      <w:pPr>
        <w:spacing w:after="0" w:line="240" w:lineRule="auto"/>
        <w:rPr>
          <w:rFonts w:eastAsia="Times New Roman" w:cs="Times New Roman"/>
        </w:rPr>
      </w:pPr>
    </w:p>
    <w:p w:rsidR="00D6557C" w:rsidRPr="00D95EA6" w:rsidRDefault="00D6557C" w:rsidP="00D6557C">
      <w:pPr>
        <w:spacing w:after="0" w:line="240" w:lineRule="auto"/>
        <w:rPr>
          <w:rFonts w:eastAsia="Times New Roman" w:cs="Times New Roman"/>
        </w:rPr>
      </w:pPr>
      <w:r>
        <w:rPr>
          <w:rFonts w:eastAsia="Times New Roman" w:cs="Times New Roman"/>
          <w:b/>
          <w:bCs/>
        </w:rPr>
        <w:t>Foundational Component Areas (FCA)</w:t>
      </w:r>
    </w:p>
    <w:p w:rsidR="00D6557C" w:rsidRPr="00D95EA6" w:rsidRDefault="00D6557C" w:rsidP="00D6557C">
      <w:pPr>
        <w:spacing w:after="0" w:line="240" w:lineRule="auto"/>
        <w:rPr>
          <w:rFonts w:eastAsia="Times New Roman" w:cs="Times New Roman"/>
        </w:rPr>
      </w:pPr>
      <w:r>
        <w:t xml:space="preserve">There are nine Foundational Component Areas (FCA), including one Component Area Option (CAO). </w:t>
      </w:r>
      <w:r w:rsidRPr="00D95EA6">
        <w:rPr>
          <w:rFonts w:eastAsia="Times New Roman" w:cs="Times New Roman"/>
        </w:rPr>
        <w:t>Each FCA has a component description as definition, a set number of Semester Credit Hours (SCH) required for completion of a component, and specified core objective</w:t>
      </w:r>
      <w:r>
        <w:rPr>
          <w:rFonts w:eastAsia="Times New Roman" w:cs="Times New Roman"/>
        </w:rPr>
        <w:t xml:space="preserve">s requirements (see table below for required alignment of Foundational Component Areas and Core Objectives). </w:t>
      </w:r>
    </w:p>
    <w:p w:rsidR="00D6557C" w:rsidRPr="00D95EA6" w:rsidRDefault="00D6557C" w:rsidP="00440A0D">
      <w:pPr>
        <w:numPr>
          <w:ilvl w:val="0"/>
          <w:numId w:val="1"/>
        </w:numPr>
        <w:spacing w:after="0" w:line="240" w:lineRule="auto"/>
        <w:rPr>
          <w:rFonts w:eastAsia="Times New Roman" w:cs="Times New Roman"/>
        </w:rPr>
      </w:pPr>
      <w:r>
        <w:rPr>
          <w:rFonts w:eastAsia="Times New Roman" w:cs="Times New Roman"/>
          <w:b/>
        </w:rPr>
        <w:t xml:space="preserve">010 </w:t>
      </w:r>
      <w:r w:rsidRPr="00D95EA6">
        <w:rPr>
          <w:rFonts w:eastAsia="Times New Roman" w:cs="Times New Roman"/>
          <w:b/>
        </w:rPr>
        <w:t>Communication (6 SCH)</w:t>
      </w:r>
      <w:r w:rsidRPr="003D034B">
        <w:rPr>
          <w:rFonts w:eastAsia="Times New Roman" w:cs="Times New Roman"/>
        </w:rPr>
        <w:t>—Courses in this category 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rsidR="00D6557C" w:rsidRPr="00D95EA6" w:rsidRDefault="00D6557C" w:rsidP="00440A0D">
      <w:pPr>
        <w:numPr>
          <w:ilvl w:val="0"/>
          <w:numId w:val="1"/>
        </w:numPr>
        <w:spacing w:after="0" w:line="240" w:lineRule="auto"/>
        <w:rPr>
          <w:rFonts w:eastAsia="Times New Roman" w:cs="Times New Roman"/>
        </w:rPr>
      </w:pPr>
      <w:r>
        <w:rPr>
          <w:rFonts w:eastAsia="Times New Roman" w:cs="Times New Roman"/>
          <w:b/>
        </w:rPr>
        <w:t xml:space="preserve">020 </w:t>
      </w:r>
      <w:r w:rsidRPr="00D95EA6">
        <w:rPr>
          <w:rFonts w:eastAsia="Times New Roman" w:cs="Times New Roman"/>
          <w:b/>
        </w:rPr>
        <w:t>Mathematics (3 SCH)</w:t>
      </w:r>
      <w:r w:rsidRPr="003D034B">
        <w:rPr>
          <w:rFonts w:eastAsia="Times New Roman" w:cs="Times New Roman"/>
        </w:rPr>
        <w:t>—Courses in this category focus on quantitative literacy in logic, patterns, and relationships. Courses involve the understanding of key mathematical concepts and the application of appropriate quantitative tools to everyday experience.</w:t>
      </w:r>
    </w:p>
    <w:p w:rsidR="00D6557C" w:rsidRPr="00D95EA6" w:rsidRDefault="00D6557C" w:rsidP="00440A0D">
      <w:pPr>
        <w:numPr>
          <w:ilvl w:val="0"/>
          <w:numId w:val="1"/>
        </w:numPr>
        <w:spacing w:after="0" w:line="240" w:lineRule="auto"/>
        <w:rPr>
          <w:rFonts w:eastAsia="Times New Roman" w:cs="Times New Roman"/>
        </w:rPr>
      </w:pPr>
      <w:r>
        <w:rPr>
          <w:rFonts w:eastAsia="Times New Roman" w:cs="Times New Roman"/>
          <w:b/>
        </w:rPr>
        <w:t xml:space="preserve">030 </w:t>
      </w:r>
      <w:r w:rsidRPr="00D95EA6">
        <w:rPr>
          <w:rFonts w:eastAsia="Times New Roman" w:cs="Times New Roman"/>
          <w:b/>
        </w:rPr>
        <w:t>Life and Physical Sciences (6 SCH)</w:t>
      </w:r>
      <w:r w:rsidRPr="003D034B">
        <w:rPr>
          <w:rFonts w:eastAsia="Times New Roman" w:cs="Times New Roman"/>
        </w:rPr>
        <w:t>—Courses in this category focus on describing, explaining, and predicting natural phenomena using the scientific method. Courses involve the understanding of interactions among natural phenomena and the implications of scientific principles on the physical world and on human experiences.</w:t>
      </w:r>
    </w:p>
    <w:p w:rsidR="00D6557C" w:rsidRPr="00D95EA6" w:rsidRDefault="00D6557C" w:rsidP="00440A0D">
      <w:pPr>
        <w:numPr>
          <w:ilvl w:val="0"/>
          <w:numId w:val="1"/>
        </w:numPr>
        <w:spacing w:after="0" w:line="240" w:lineRule="auto"/>
        <w:rPr>
          <w:rFonts w:eastAsia="Times New Roman" w:cs="Times New Roman"/>
        </w:rPr>
      </w:pPr>
      <w:r>
        <w:rPr>
          <w:rFonts w:eastAsia="Times New Roman" w:cs="Times New Roman"/>
          <w:b/>
        </w:rPr>
        <w:t xml:space="preserve">040 </w:t>
      </w:r>
      <w:r w:rsidRPr="00D95EA6">
        <w:rPr>
          <w:rFonts w:eastAsia="Times New Roman" w:cs="Times New Roman"/>
          <w:b/>
        </w:rPr>
        <w:t>Language, Philosophy and Culture (3 SCH)</w:t>
      </w:r>
      <w:r w:rsidRPr="003D034B">
        <w:rPr>
          <w:rFonts w:eastAsia="Times New Roman" w:cs="Times New Roman"/>
        </w:rPr>
        <w:t>—Courses in this category focus on how ideas, values, beliefs, and other aspects of culture express and affect human experience. Courses involve the exploration of ideas that foster aesthetic and intellectual creation in order to understand the human condition across cultures.</w:t>
      </w:r>
    </w:p>
    <w:p w:rsidR="00D6557C" w:rsidRPr="00D95EA6" w:rsidRDefault="00D6557C" w:rsidP="00440A0D">
      <w:pPr>
        <w:numPr>
          <w:ilvl w:val="0"/>
          <w:numId w:val="1"/>
        </w:numPr>
        <w:spacing w:after="0" w:line="240" w:lineRule="auto"/>
        <w:rPr>
          <w:rFonts w:eastAsia="Times New Roman" w:cs="Times New Roman"/>
        </w:rPr>
      </w:pPr>
      <w:r>
        <w:rPr>
          <w:rFonts w:eastAsia="Times New Roman" w:cs="Times New Roman"/>
          <w:b/>
        </w:rPr>
        <w:t xml:space="preserve">050 </w:t>
      </w:r>
      <w:r w:rsidRPr="00D95EA6">
        <w:rPr>
          <w:rFonts w:eastAsia="Times New Roman" w:cs="Times New Roman"/>
          <w:b/>
        </w:rPr>
        <w:t>Creative Arts (3 SCH)</w:t>
      </w:r>
      <w:r w:rsidRPr="003D034B">
        <w:rPr>
          <w:rFonts w:eastAsia="Times New Roman" w:cs="Times New Roman"/>
        </w:rPr>
        <w:t>—Courses in this category focus on the appreciation and analysis of creative artifacts and works of the human imagination. Courses involve the synthesis and interpretation of artistic expression and enable critical, creative, and innovative communication about works of art.</w:t>
      </w:r>
    </w:p>
    <w:p w:rsidR="00D6557C" w:rsidRPr="00D95EA6" w:rsidRDefault="00D6557C" w:rsidP="00440A0D">
      <w:pPr>
        <w:numPr>
          <w:ilvl w:val="0"/>
          <w:numId w:val="1"/>
        </w:numPr>
        <w:spacing w:after="0" w:line="240" w:lineRule="auto"/>
        <w:rPr>
          <w:rFonts w:eastAsia="Times New Roman" w:cs="Times New Roman"/>
        </w:rPr>
      </w:pPr>
      <w:r>
        <w:rPr>
          <w:rFonts w:eastAsia="Times New Roman" w:cs="Times New Roman"/>
          <w:b/>
        </w:rPr>
        <w:lastRenderedPageBreak/>
        <w:t xml:space="preserve">060 </w:t>
      </w:r>
      <w:r w:rsidRPr="00D95EA6">
        <w:rPr>
          <w:rFonts w:eastAsia="Times New Roman" w:cs="Times New Roman"/>
          <w:b/>
        </w:rPr>
        <w:t>American History (6 SCH)</w:t>
      </w:r>
      <w:r w:rsidRPr="003D034B">
        <w:rPr>
          <w:rFonts w:eastAsia="Times New Roman" w:cs="Times New Roman"/>
        </w:rPr>
        <w:t>—Courses in this category focus on the consideration of past events and ideas relative to the United States, with the option of including Texas History for a portion of this component area. Courses involve the interaction among individuals, communities, states, the nation, and the world, considering how these interactions have contributed to the development of the United States and its global role.</w:t>
      </w:r>
    </w:p>
    <w:p w:rsidR="00D6557C" w:rsidRPr="00D95EA6" w:rsidRDefault="00D6557C" w:rsidP="00440A0D">
      <w:pPr>
        <w:numPr>
          <w:ilvl w:val="0"/>
          <w:numId w:val="1"/>
        </w:numPr>
        <w:spacing w:after="0" w:line="240" w:lineRule="auto"/>
        <w:rPr>
          <w:rFonts w:eastAsia="Times New Roman" w:cs="Times New Roman"/>
        </w:rPr>
      </w:pPr>
      <w:r>
        <w:rPr>
          <w:rFonts w:eastAsia="Times New Roman" w:cs="Times New Roman"/>
          <w:b/>
        </w:rPr>
        <w:t xml:space="preserve">070 </w:t>
      </w:r>
      <w:r w:rsidRPr="00D95EA6">
        <w:rPr>
          <w:rFonts w:eastAsia="Times New Roman" w:cs="Times New Roman"/>
          <w:b/>
        </w:rPr>
        <w:t>Government/Political Science (6 SCH)</w:t>
      </w:r>
      <w:r w:rsidRPr="003D034B">
        <w:rPr>
          <w:rFonts w:eastAsia="Times New Roman" w:cs="Times New Roman"/>
        </w:rPr>
        <w:t>—Courses in this category focus on consideration of the Constitution of the United States and the constitutions of the states, with special emphasis on that of Texas. Courses involve the analysis of governmental institutions, political behavior, civic engagement, and their political and philosophical foundations.</w:t>
      </w:r>
    </w:p>
    <w:p w:rsidR="00D6557C" w:rsidRPr="00D95EA6" w:rsidRDefault="00426474" w:rsidP="00440A0D">
      <w:pPr>
        <w:numPr>
          <w:ilvl w:val="0"/>
          <w:numId w:val="1"/>
        </w:numPr>
        <w:spacing w:after="0" w:line="240" w:lineRule="auto"/>
        <w:rPr>
          <w:rFonts w:eastAsia="Times New Roman" w:cs="Times New Roman"/>
        </w:rPr>
      </w:pPr>
      <w:r>
        <w:rPr>
          <w:rFonts w:eastAsia="Times New Roman" w:cs="Times New Roman"/>
          <w:b/>
        </w:rPr>
        <w:t xml:space="preserve">080 </w:t>
      </w:r>
      <w:r w:rsidR="00D6557C" w:rsidRPr="00D95EA6">
        <w:rPr>
          <w:rFonts w:eastAsia="Times New Roman" w:cs="Times New Roman"/>
          <w:b/>
        </w:rPr>
        <w:t>Social and Behavioral Sciences (3 SCH)</w:t>
      </w:r>
      <w:r w:rsidR="00D6557C" w:rsidRPr="003D034B">
        <w:rPr>
          <w:rFonts w:eastAsia="Times New Roman" w:cs="Times New Roman"/>
        </w:rPr>
        <w:t>—Courses in this category focus on the application of empirical and scientific methods that contribute to the understanding of what makes us human. Courses involve the exploration of behavior and interactions among individuals, groups, institutions, and events, examining their impact on the individual, society, and culture.</w:t>
      </w:r>
    </w:p>
    <w:p w:rsidR="00D6557C" w:rsidRPr="003D034B" w:rsidRDefault="00426474" w:rsidP="00440A0D">
      <w:pPr>
        <w:numPr>
          <w:ilvl w:val="0"/>
          <w:numId w:val="1"/>
        </w:numPr>
        <w:spacing w:after="0" w:line="240" w:lineRule="auto"/>
        <w:rPr>
          <w:rFonts w:eastAsia="Times New Roman" w:cs="Times New Roman"/>
        </w:rPr>
      </w:pPr>
      <w:r>
        <w:rPr>
          <w:rFonts w:eastAsia="Times New Roman" w:cs="Times New Roman"/>
          <w:b/>
        </w:rPr>
        <w:t xml:space="preserve">090 </w:t>
      </w:r>
      <w:r w:rsidR="00D6557C" w:rsidRPr="00D95EA6">
        <w:rPr>
          <w:rFonts w:eastAsia="Times New Roman" w:cs="Times New Roman"/>
          <w:b/>
        </w:rPr>
        <w:t>Th</w:t>
      </w:r>
      <w:r w:rsidR="00D6557C" w:rsidRPr="003D034B">
        <w:rPr>
          <w:rFonts w:eastAsia="Times New Roman" w:cs="Times New Roman"/>
          <w:b/>
        </w:rPr>
        <w:t>e Component Area Option (6 SCH)</w:t>
      </w:r>
      <w:r w:rsidR="00D6557C" w:rsidRPr="003D034B">
        <w:rPr>
          <w:rFonts w:eastAsia="Times New Roman" w:cs="Times New Roman"/>
        </w:rPr>
        <w:t>—The content of the CAO is defined:</w:t>
      </w:r>
    </w:p>
    <w:p w:rsidR="00D6557C" w:rsidRPr="003D034B" w:rsidRDefault="00D6557C" w:rsidP="00440A0D">
      <w:pPr>
        <w:pStyle w:val="ListParagraph"/>
        <w:numPr>
          <w:ilvl w:val="0"/>
          <w:numId w:val="2"/>
        </w:numPr>
        <w:spacing w:after="0" w:line="240" w:lineRule="auto"/>
        <w:rPr>
          <w:rFonts w:cstheme="minorHAnsi"/>
        </w:rPr>
      </w:pPr>
      <w:r w:rsidRPr="003D034B">
        <w:rPr>
          <w:rFonts w:eastAsia="Times New Roman" w:cs="Times New Roman"/>
          <w:b/>
        </w:rPr>
        <w:t>Option A</w:t>
      </w:r>
      <w:r w:rsidRPr="003D034B">
        <w:rPr>
          <w:rFonts w:eastAsia="Times New Roman" w:cs="Times New Roman"/>
        </w:rPr>
        <w:t>: At least three SCH of the CAO must be aligned and associated with the definition and core objectives of one of the eight other FCA.</w:t>
      </w:r>
    </w:p>
    <w:p w:rsidR="00D6557C" w:rsidRPr="003D034B" w:rsidRDefault="00D6557C" w:rsidP="00440A0D">
      <w:pPr>
        <w:pStyle w:val="ListParagraph"/>
        <w:numPr>
          <w:ilvl w:val="0"/>
          <w:numId w:val="2"/>
        </w:numPr>
        <w:spacing w:after="0" w:line="240" w:lineRule="auto"/>
        <w:rPr>
          <w:rFonts w:cstheme="minorHAnsi"/>
        </w:rPr>
      </w:pPr>
      <w:r w:rsidRPr="003D034B">
        <w:rPr>
          <w:rFonts w:eastAsia="Times New Roman" w:cs="Times New Roman"/>
          <w:b/>
        </w:rPr>
        <w:t>Option B</w:t>
      </w:r>
      <w:r w:rsidRPr="003D034B">
        <w:rPr>
          <w:rFonts w:eastAsia="Times New Roman" w:cs="Times New Roman"/>
        </w:rPr>
        <w:t>: Up to three SCH may be aligned and associated with at least one of the eight FCA definitions and may incorporate one or more core objectives of the institution’s choice besides the two core objectives communication skills and critical thinking skills, which are required.</w:t>
      </w:r>
    </w:p>
    <w:p w:rsidR="00D6557C" w:rsidRPr="00CF4B79" w:rsidRDefault="00D6557C" w:rsidP="00CF4B79">
      <w:pPr>
        <w:spacing w:after="0" w:line="240" w:lineRule="auto"/>
        <w:ind w:left="360"/>
        <w:rPr>
          <w:rFonts w:eastAsia="Times New Roman" w:cs="Times New Roman"/>
        </w:rPr>
      </w:pPr>
      <w:r w:rsidRPr="00CF4B79">
        <w:rPr>
          <w:rFonts w:eastAsia="Times New Roman" w:cs="Times New Roman"/>
        </w:rPr>
        <w:t>Note</w:t>
      </w:r>
      <w:r w:rsidRPr="00CF4B79">
        <w:rPr>
          <w:rFonts w:cstheme="minorHAnsi"/>
        </w:rPr>
        <w:t xml:space="preserve">: Overflow hours counted as part of the CAO decrease the number of SCH a student has to take, in addition to the overflow hour, in order to complete the CAO requirement. Institutions that count overflow hours in the CAO must make sure that students have one- or two-SCH course options to fulfill their core requirement. </w:t>
      </w:r>
    </w:p>
    <w:p w:rsidR="003D5685" w:rsidRPr="003D5685" w:rsidRDefault="003D5685" w:rsidP="003D5685">
      <w:pPr>
        <w:pStyle w:val="ListParagraph"/>
        <w:spacing w:after="0" w:line="240" w:lineRule="auto"/>
        <w:rPr>
          <w:rFonts w:eastAsia="Times New Roman" w:cs="Times New Roman"/>
        </w:rPr>
      </w:pPr>
    </w:p>
    <w:p w:rsidR="00D6557C" w:rsidRPr="00D6557C" w:rsidRDefault="00D6557C" w:rsidP="00D6557C">
      <w:pPr>
        <w:spacing w:after="0" w:line="240" w:lineRule="auto"/>
        <w:rPr>
          <w:rFonts w:eastAsia="Times New Roman" w:cs="Times New Roman"/>
          <w:b/>
        </w:rPr>
      </w:pPr>
      <w:r w:rsidRPr="00D6557C">
        <w:rPr>
          <w:rFonts w:eastAsia="Times New Roman" w:cs="Times New Roman"/>
          <w:b/>
        </w:rPr>
        <w:t xml:space="preserve">Two parts of the Foundational Component Area </w:t>
      </w:r>
    </w:p>
    <w:p w:rsidR="00D95EA6" w:rsidRDefault="00D6557C" w:rsidP="003D5685">
      <w:pPr>
        <w:spacing w:after="120" w:line="240" w:lineRule="auto"/>
        <w:rPr>
          <w:rFonts w:eastAsia="Times New Roman" w:cs="Times New Roman"/>
        </w:rPr>
      </w:pPr>
      <w:r w:rsidRPr="00D6557C">
        <w:rPr>
          <w:rFonts w:eastAsia="Times New Roman" w:cs="Times New Roman"/>
        </w:rPr>
        <w:t xml:space="preserve">There are two parts that are separate requirements of each </w:t>
      </w:r>
      <w:r w:rsidR="007A717A">
        <w:rPr>
          <w:rFonts w:eastAsia="Times New Roman" w:cs="Times New Roman"/>
        </w:rPr>
        <w:t>Foundational Component Area</w:t>
      </w:r>
      <w:r w:rsidRPr="00D6557C">
        <w:rPr>
          <w:rFonts w:eastAsia="Times New Roman" w:cs="Times New Roman"/>
        </w:rPr>
        <w:t xml:space="preserve">. Both parts are important but independent from each other. The </w:t>
      </w:r>
      <w:r w:rsidR="007A717A">
        <w:rPr>
          <w:rFonts w:eastAsia="Times New Roman" w:cs="Times New Roman"/>
        </w:rPr>
        <w:t>FCA</w:t>
      </w:r>
      <w:r w:rsidR="007A717A" w:rsidRPr="00D6557C">
        <w:rPr>
          <w:rFonts w:eastAsia="Times New Roman" w:cs="Times New Roman"/>
        </w:rPr>
        <w:t xml:space="preserve"> </w:t>
      </w:r>
      <w:r w:rsidRPr="00D6557C">
        <w:rPr>
          <w:rFonts w:eastAsia="Times New Roman" w:cs="Times New Roman"/>
        </w:rPr>
        <w:t xml:space="preserve">definition specifies the focus of the content of the course and topics to be addressed. The required </w:t>
      </w:r>
      <w:r w:rsidR="007A717A">
        <w:rPr>
          <w:rFonts w:eastAsia="Times New Roman" w:cs="Times New Roman"/>
        </w:rPr>
        <w:t>C</w:t>
      </w:r>
      <w:r w:rsidRPr="00D6557C">
        <w:rPr>
          <w:rFonts w:eastAsia="Times New Roman" w:cs="Times New Roman"/>
        </w:rPr>
        <w:t xml:space="preserve">ore </w:t>
      </w:r>
      <w:r w:rsidR="007A717A">
        <w:rPr>
          <w:rFonts w:eastAsia="Times New Roman" w:cs="Times New Roman"/>
        </w:rPr>
        <w:t>O</w:t>
      </w:r>
      <w:r w:rsidRPr="00D6557C">
        <w:rPr>
          <w:rFonts w:eastAsia="Times New Roman" w:cs="Times New Roman"/>
        </w:rPr>
        <w:t>bjective</w:t>
      </w:r>
      <w:r w:rsidR="007A717A">
        <w:rPr>
          <w:rFonts w:eastAsia="Times New Roman" w:cs="Times New Roman"/>
        </w:rPr>
        <w:t>s (CO)</w:t>
      </w:r>
      <w:r w:rsidRPr="00D6557C">
        <w:rPr>
          <w:rFonts w:eastAsia="Times New Roman" w:cs="Times New Roman"/>
        </w:rPr>
        <w:t xml:space="preserve"> address components with which the course content is to be delivered in order to facilitate learning</w:t>
      </w:r>
      <w:r>
        <w:rPr>
          <w:rFonts w:eastAsia="Times New Roman" w:cs="Times New Roman"/>
        </w:rPr>
        <w:t xml:space="preserve">. The alignment of </w:t>
      </w:r>
      <w:r w:rsidR="007A717A" w:rsidRPr="00D6557C">
        <w:rPr>
          <w:rFonts w:eastAsia="Times New Roman" w:cs="Times New Roman"/>
        </w:rPr>
        <w:t>FCA</w:t>
      </w:r>
      <w:r w:rsidR="007A717A">
        <w:rPr>
          <w:rFonts w:eastAsia="Times New Roman" w:cs="Times New Roman"/>
        </w:rPr>
        <w:t>s and required COs is shown in the table below.</w:t>
      </w:r>
    </w:p>
    <w:tbl>
      <w:tblPr>
        <w:tblStyle w:val="TableGrid"/>
        <w:tblW w:w="452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1"/>
        <w:gridCol w:w="839"/>
        <w:gridCol w:w="839"/>
        <w:gridCol w:w="839"/>
        <w:gridCol w:w="839"/>
        <w:gridCol w:w="839"/>
        <w:gridCol w:w="844"/>
      </w:tblGrid>
      <w:tr w:rsidR="001C23D7" w:rsidRPr="003D034B" w:rsidTr="00CF4B79">
        <w:trPr>
          <w:trHeight w:val="279"/>
        </w:trPr>
        <w:tc>
          <w:tcPr>
            <w:tcW w:w="2021" w:type="pct"/>
            <w:vMerge w:val="restart"/>
            <w:tcBorders>
              <w:top w:val="single" w:sz="4" w:space="0" w:color="auto"/>
              <w:left w:val="single" w:sz="4" w:space="0" w:color="auto"/>
              <w:right w:val="single" w:sz="4" w:space="0" w:color="auto"/>
            </w:tcBorders>
            <w:shd w:val="clear" w:color="auto" w:fill="auto"/>
            <w:vAlign w:val="center"/>
          </w:tcPr>
          <w:p w:rsidR="003D034B" w:rsidRPr="00CF4B79" w:rsidRDefault="007A717A" w:rsidP="003D5685">
            <w:pPr>
              <w:jc w:val="center"/>
              <w:rPr>
                <w:rFonts w:cstheme="minorHAnsi"/>
                <w:b/>
                <w:sz w:val="20"/>
                <w:szCs w:val="20"/>
              </w:rPr>
            </w:pPr>
            <w:r w:rsidRPr="00CF4B79">
              <w:rPr>
                <w:rFonts w:cstheme="minorHAnsi"/>
                <w:b/>
                <w:sz w:val="20"/>
                <w:szCs w:val="20"/>
              </w:rPr>
              <w:t xml:space="preserve">Foundational </w:t>
            </w:r>
            <w:r w:rsidR="003D034B" w:rsidRPr="00CF4B79">
              <w:rPr>
                <w:rFonts w:cstheme="minorHAnsi"/>
                <w:b/>
                <w:sz w:val="20"/>
                <w:szCs w:val="20"/>
              </w:rPr>
              <w:t>Component Area</w:t>
            </w:r>
            <w:r w:rsidRPr="00CF4B79">
              <w:rPr>
                <w:rFonts w:cstheme="minorHAnsi"/>
                <w:b/>
                <w:sz w:val="20"/>
                <w:szCs w:val="20"/>
              </w:rPr>
              <w:t>s (FCA)</w:t>
            </w:r>
          </w:p>
        </w:tc>
        <w:tc>
          <w:tcPr>
            <w:tcW w:w="297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D034B" w:rsidRPr="00CF4B79" w:rsidRDefault="003D034B" w:rsidP="003D5685">
            <w:pPr>
              <w:jc w:val="center"/>
              <w:rPr>
                <w:rFonts w:cstheme="minorHAnsi"/>
                <w:b/>
                <w:sz w:val="20"/>
                <w:szCs w:val="20"/>
              </w:rPr>
            </w:pPr>
            <w:r w:rsidRPr="00CF4B79">
              <w:rPr>
                <w:rFonts w:cstheme="minorHAnsi"/>
                <w:b/>
                <w:sz w:val="20"/>
                <w:szCs w:val="20"/>
              </w:rPr>
              <w:t>Core Objectives</w:t>
            </w:r>
            <w:r w:rsidR="001C23D7" w:rsidRPr="00CF4B79">
              <w:rPr>
                <w:rFonts w:cstheme="minorHAnsi"/>
                <w:b/>
                <w:sz w:val="20"/>
                <w:szCs w:val="20"/>
              </w:rPr>
              <w:t xml:space="preserve"> </w:t>
            </w:r>
            <w:r w:rsidR="003D5685" w:rsidRPr="00CF4B79">
              <w:rPr>
                <w:rFonts w:cstheme="minorHAnsi"/>
                <w:b/>
                <w:sz w:val="20"/>
                <w:szCs w:val="20"/>
              </w:rPr>
              <w:t>(CO)*</w:t>
            </w:r>
          </w:p>
        </w:tc>
      </w:tr>
      <w:tr w:rsidR="00D6557C" w:rsidRPr="003D034B" w:rsidTr="00CF4B79">
        <w:trPr>
          <w:trHeight w:val="279"/>
        </w:trPr>
        <w:tc>
          <w:tcPr>
            <w:tcW w:w="2021" w:type="pct"/>
            <w:vMerge/>
            <w:tcBorders>
              <w:left w:val="single" w:sz="4" w:space="0" w:color="auto"/>
              <w:bottom w:val="single" w:sz="4" w:space="0" w:color="auto"/>
              <w:right w:val="single" w:sz="4" w:space="0" w:color="auto"/>
            </w:tcBorders>
            <w:shd w:val="clear" w:color="auto" w:fill="auto"/>
            <w:vAlign w:val="center"/>
          </w:tcPr>
          <w:p w:rsidR="003D034B" w:rsidRPr="00CF4B79" w:rsidRDefault="003D034B" w:rsidP="003D034B">
            <w:pPr>
              <w:rPr>
                <w:rFonts w:cstheme="minorHAnsi"/>
                <w:b/>
                <w:sz w:val="20"/>
                <w:szCs w:val="20"/>
              </w:rPr>
            </w:pPr>
          </w:p>
        </w:tc>
        <w:tc>
          <w:tcPr>
            <w:tcW w:w="496" w:type="pct"/>
            <w:tcBorders>
              <w:top w:val="single" w:sz="4" w:space="0" w:color="auto"/>
              <w:left w:val="single" w:sz="4" w:space="0" w:color="auto"/>
              <w:bottom w:val="single" w:sz="4" w:space="0" w:color="auto"/>
              <w:right w:val="single" w:sz="2" w:space="0" w:color="auto"/>
            </w:tcBorders>
            <w:shd w:val="clear" w:color="auto" w:fill="auto"/>
            <w:vAlign w:val="center"/>
          </w:tcPr>
          <w:p w:rsidR="003D034B" w:rsidRPr="00CF4B79" w:rsidRDefault="003D034B" w:rsidP="003D5685">
            <w:pPr>
              <w:jc w:val="center"/>
              <w:rPr>
                <w:rFonts w:cstheme="minorHAnsi"/>
                <w:b/>
                <w:sz w:val="20"/>
                <w:szCs w:val="20"/>
              </w:rPr>
            </w:pPr>
            <w:r w:rsidRPr="00CF4B79">
              <w:rPr>
                <w:rFonts w:cstheme="minorHAnsi"/>
                <w:b/>
                <w:sz w:val="20"/>
                <w:szCs w:val="20"/>
              </w:rPr>
              <w:t>CT</w:t>
            </w:r>
          </w:p>
        </w:tc>
        <w:tc>
          <w:tcPr>
            <w:tcW w:w="496" w:type="pct"/>
            <w:tcBorders>
              <w:top w:val="single" w:sz="4" w:space="0" w:color="auto"/>
              <w:bottom w:val="single" w:sz="4" w:space="0" w:color="auto"/>
              <w:right w:val="single" w:sz="2" w:space="0" w:color="auto"/>
            </w:tcBorders>
            <w:shd w:val="clear" w:color="auto" w:fill="auto"/>
            <w:vAlign w:val="center"/>
          </w:tcPr>
          <w:p w:rsidR="003D034B" w:rsidRPr="00CF4B79" w:rsidRDefault="003D034B" w:rsidP="003D5685">
            <w:pPr>
              <w:jc w:val="center"/>
              <w:rPr>
                <w:rFonts w:cstheme="minorHAnsi"/>
                <w:b/>
                <w:sz w:val="20"/>
                <w:szCs w:val="20"/>
              </w:rPr>
            </w:pPr>
            <w:r w:rsidRPr="00CF4B79">
              <w:rPr>
                <w:rFonts w:cstheme="minorHAnsi"/>
                <w:b/>
                <w:sz w:val="20"/>
                <w:szCs w:val="20"/>
              </w:rPr>
              <w:t>COM</w:t>
            </w:r>
          </w:p>
        </w:tc>
        <w:tc>
          <w:tcPr>
            <w:tcW w:w="496" w:type="pct"/>
            <w:tcBorders>
              <w:top w:val="single" w:sz="4" w:space="0" w:color="auto"/>
              <w:bottom w:val="single" w:sz="4" w:space="0" w:color="auto"/>
              <w:right w:val="single" w:sz="2" w:space="0" w:color="auto"/>
            </w:tcBorders>
            <w:shd w:val="clear" w:color="auto" w:fill="auto"/>
            <w:vAlign w:val="center"/>
          </w:tcPr>
          <w:p w:rsidR="003D034B" w:rsidRPr="00CF4B79" w:rsidRDefault="003D034B" w:rsidP="003D5685">
            <w:pPr>
              <w:jc w:val="center"/>
              <w:rPr>
                <w:rFonts w:cstheme="minorHAnsi"/>
                <w:b/>
                <w:sz w:val="20"/>
                <w:szCs w:val="20"/>
              </w:rPr>
            </w:pPr>
            <w:r w:rsidRPr="00CF4B79">
              <w:rPr>
                <w:rFonts w:cstheme="minorHAnsi"/>
                <w:b/>
                <w:sz w:val="20"/>
                <w:szCs w:val="20"/>
              </w:rPr>
              <w:t>EQS</w:t>
            </w:r>
          </w:p>
        </w:tc>
        <w:tc>
          <w:tcPr>
            <w:tcW w:w="496" w:type="pct"/>
            <w:tcBorders>
              <w:top w:val="single" w:sz="4" w:space="0" w:color="auto"/>
              <w:bottom w:val="single" w:sz="4" w:space="0" w:color="auto"/>
              <w:right w:val="single" w:sz="2" w:space="0" w:color="auto"/>
            </w:tcBorders>
            <w:shd w:val="clear" w:color="auto" w:fill="auto"/>
            <w:vAlign w:val="center"/>
          </w:tcPr>
          <w:p w:rsidR="003D034B" w:rsidRPr="00CF4B79" w:rsidRDefault="003D034B" w:rsidP="003D5685">
            <w:pPr>
              <w:jc w:val="center"/>
              <w:rPr>
                <w:rFonts w:cstheme="minorHAnsi"/>
                <w:b/>
                <w:sz w:val="20"/>
                <w:szCs w:val="20"/>
              </w:rPr>
            </w:pPr>
            <w:r w:rsidRPr="00CF4B79">
              <w:rPr>
                <w:rFonts w:cstheme="minorHAnsi"/>
                <w:b/>
                <w:sz w:val="20"/>
                <w:szCs w:val="20"/>
              </w:rPr>
              <w:t>TW</w:t>
            </w:r>
          </w:p>
        </w:tc>
        <w:tc>
          <w:tcPr>
            <w:tcW w:w="496" w:type="pct"/>
            <w:tcBorders>
              <w:top w:val="single" w:sz="4" w:space="0" w:color="auto"/>
              <w:bottom w:val="single" w:sz="4" w:space="0" w:color="auto"/>
              <w:right w:val="single" w:sz="2" w:space="0" w:color="auto"/>
            </w:tcBorders>
            <w:shd w:val="clear" w:color="auto" w:fill="auto"/>
            <w:vAlign w:val="center"/>
          </w:tcPr>
          <w:p w:rsidR="003D034B" w:rsidRPr="00CF4B79" w:rsidRDefault="003D034B" w:rsidP="003D5685">
            <w:pPr>
              <w:jc w:val="center"/>
              <w:rPr>
                <w:rFonts w:cstheme="minorHAnsi"/>
                <w:b/>
                <w:sz w:val="20"/>
                <w:szCs w:val="20"/>
              </w:rPr>
            </w:pPr>
            <w:r w:rsidRPr="00CF4B79">
              <w:rPr>
                <w:rFonts w:cstheme="minorHAnsi"/>
                <w:b/>
                <w:sz w:val="20"/>
                <w:szCs w:val="20"/>
              </w:rPr>
              <w:t>SR</w:t>
            </w:r>
          </w:p>
        </w:tc>
        <w:tc>
          <w:tcPr>
            <w:tcW w:w="497" w:type="pct"/>
            <w:tcBorders>
              <w:top w:val="single" w:sz="4" w:space="0" w:color="auto"/>
              <w:bottom w:val="single" w:sz="4" w:space="0" w:color="auto"/>
              <w:right w:val="single" w:sz="4" w:space="0" w:color="auto"/>
            </w:tcBorders>
            <w:shd w:val="clear" w:color="auto" w:fill="auto"/>
            <w:vAlign w:val="center"/>
          </w:tcPr>
          <w:p w:rsidR="003D034B" w:rsidRPr="00CF4B79" w:rsidRDefault="003D034B" w:rsidP="003D5685">
            <w:pPr>
              <w:jc w:val="center"/>
              <w:rPr>
                <w:rFonts w:cstheme="minorHAnsi"/>
                <w:b/>
                <w:sz w:val="20"/>
                <w:szCs w:val="20"/>
              </w:rPr>
            </w:pPr>
            <w:r w:rsidRPr="00CF4B79">
              <w:rPr>
                <w:rFonts w:cstheme="minorHAnsi"/>
                <w:b/>
                <w:sz w:val="20"/>
                <w:szCs w:val="20"/>
              </w:rPr>
              <w:t>PR</w:t>
            </w:r>
          </w:p>
        </w:tc>
      </w:tr>
      <w:tr w:rsidR="00321234" w:rsidRPr="003D034B" w:rsidTr="00CF4B79">
        <w:trPr>
          <w:trHeight w:val="360"/>
        </w:trPr>
        <w:tc>
          <w:tcPr>
            <w:tcW w:w="2021" w:type="pct"/>
            <w:tcBorders>
              <w:top w:val="single" w:sz="4" w:space="0" w:color="auto"/>
              <w:left w:val="single" w:sz="4" w:space="0" w:color="auto"/>
              <w:bottom w:val="single" w:sz="2" w:space="0" w:color="auto"/>
              <w:right w:val="single" w:sz="2" w:space="0" w:color="auto"/>
            </w:tcBorders>
            <w:vAlign w:val="center"/>
          </w:tcPr>
          <w:p w:rsidR="00321234" w:rsidRPr="00CF4B79" w:rsidRDefault="00321234" w:rsidP="00321234">
            <w:pPr>
              <w:rPr>
                <w:rFonts w:cstheme="minorHAnsi"/>
                <w:sz w:val="20"/>
                <w:szCs w:val="20"/>
              </w:rPr>
            </w:pPr>
            <w:r w:rsidRPr="00CF4B79">
              <w:rPr>
                <w:rFonts w:cstheme="minorHAnsi"/>
                <w:sz w:val="20"/>
                <w:szCs w:val="20"/>
              </w:rPr>
              <w:t>Communication (010)</w:t>
            </w:r>
          </w:p>
        </w:tc>
        <w:tc>
          <w:tcPr>
            <w:tcW w:w="496" w:type="pct"/>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6" w:type="pct"/>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6" w:type="pct"/>
            <w:tcBorders>
              <w:top w:val="single" w:sz="4" w:space="0" w:color="auto"/>
              <w:left w:val="single" w:sz="2" w:space="0" w:color="auto"/>
              <w:bottom w:val="single" w:sz="2" w:space="0" w:color="auto"/>
              <w:right w:val="single" w:sz="2" w:space="0" w:color="auto"/>
            </w:tcBorders>
            <w:vAlign w:val="center"/>
          </w:tcPr>
          <w:p w:rsidR="00321234" w:rsidRPr="00CF4B79" w:rsidRDefault="00321234" w:rsidP="00321234">
            <w:pPr>
              <w:jc w:val="center"/>
              <w:rPr>
                <w:rFonts w:cstheme="minorHAnsi"/>
                <w:sz w:val="20"/>
                <w:szCs w:val="20"/>
              </w:rPr>
            </w:pPr>
            <w:r w:rsidRPr="00CF4B79">
              <w:rPr>
                <w:rFonts w:cstheme="minorHAnsi"/>
                <w:sz w:val="20"/>
                <w:szCs w:val="20"/>
              </w:rPr>
              <w:sym w:font="Wingdings 2" w:char="F09A"/>
            </w:r>
          </w:p>
        </w:tc>
        <w:tc>
          <w:tcPr>
            <w:tcW w:w="496" w:type="pct"/>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6" w:type="pct"/>
            <w:tcBorders>
              <w:top w:val="single" w:sz="4" w:space="0" w:color="auto"/>
              <w:left w:val="single" w:sz="2" w:space="0" w:color="auto"/>
              <w:bottom w:val="single" w:sz="2" w:space="0" w:color="auto"/>
              <w:right w:val="single" w:sz="2" w:space="0" w:color="auto"/>
            </w:tcBorders>
            <w:vAlign w:val="center"/>
          </w:tcPr>
          <w:p w:rsidR="00321234" w:rsidRPr="00CF4B79" w:rsidRDefault="00321234" w:rsidP="00321234">
            <w:pPr>
              <w:jc w:val="center"/>
              <w:rPr>
                <w:rFonts w:cstheme="minorHAnsi"/>
                <w:sz w:val="20"/>
                <w:szCs w:val="20"/>
              </w:rPr>
            </w:pPr>
            <w:r w:rsidRPr="00CF4B79">
              <w:rPr>
                <w:rFonts w:cstheme="minorHAnsi"/>
                <w:sz w:val="20"/>
                <w:szCs w:val="20"/>
              </w:rPr>
              <w:sym w:font="Wingdings 2" w:char="F09A"/>
            </w:r>
          </w:p>
        </w:tc>
        <w:tc>
          <w:tcPr>
            <w:tcW w:w="497" w:type="pct"/>
            <w:tcBorders>
              <w:top w:val="single" w:sz="4" w:space="0" w:color="auto"/>
              <w:left w:val="single" w:sz="2" w:space="0" w:color="auto"/>
              <w:bottom w:val="single" w:sz="2" w:space="0" w:color="auto"/>
              <w:right w:val="single" w:sz="4"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r>
      <w:tr w:rsidR="00321234" w:rsidRPr="003D034B" w:rsidTr="00CF4B79">
        <w:trPr>
          <w:trHeight w:val="360"/>
        </w:trPr>
        <w:tc>
          <w:tcPr>
            <w:tcW w:w="2021" w:type="pct"/>
            <w:tcBorders>
              <w:top w:val="single" w:sz="4" w:space="0" w:color="auto"/>
              <w:left w:val="single" w:sz="4" w:space="0" w:color="auto"/>
              <w:bottom w:val="single" w:sz="2" w:space="0" w:color="auto"/>
              <w:right w:val="single" w:sz="2" w:space="0" w:color="auto"/>
            </w:tcBorders>
            <w:vAlign w:val="center"/>
          </w:tcPr>
          <w:p w:rsidR="00321234" w:rsidRPr="00CF4B79" w:rsidRDefault="00321234" w:rsidP="00321234">
            <w:pPr>
              <w:rPr>
                <w:rFonts w:cstheme="minorHAnsi"/>
                <w:sz w:val="20"/>
                <w:szCs w:val="20"/>
              </w:rPr>
            </w:pPr>
            <w:r w:rsidRPr="00CF4B79">
              <w:rPr>
                <w:rFonts w:cstheme="minorHAnsi"/>
                <w:sz w:val="20"/>
                <w:szCs w:val="20"/>
              </w:rPr>
              <w:t>Mathematics (020)</w:t>
            </w:r>
          </w:p>
        </w:tc>
        <w:tc>
          <w:tcPr>
            <w:tcW w:w="496" w:type="pct"/>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6" w:type="pct"/>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6" w:type="pct"/>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6" w:type="pct"/>
            <w:tcBorders>
              <w:top w:val="single" w:sz="4" w:space="0" w:color="auto"/>
              <w:left w:val="single" w:sz="2" w:space="0" w:color="auto"/>
              <w:bottom w:val="single" w:sz="2" w:space="0" w:color="auto"/>
              <w:right w:val="single" w:sz="2" w:space="0" w:color="auto"/>
            </w:tcBorders>
            <w:vAlign w:val="center"/>
          </w:tcPr>
          <w:p w:rsidR="00321234" w:rsidRPr="00CF4B79" w:rsidRDefault="00321234" w:rsidP="00321234">
            <w:pPr>
              <w:jc w:val="center"/>
              <w:rPr>
                <w:rFonts w:cstheme="minorHAnsi"/>
                <w:sz w:val="20"/>
                <w:szCs w:val="20"/>
              </w:rPr>
            </w:pPr>
            <w:r w:rsidRPr="00CF4B79">
              <w:rPr>
                <w:rFonts w:cstheme="minorHAnsi"/>
                <w:sz w:val="20"/>
                <w:szCs w:val="20"/>
              </w:rPr>
              <w:sym w:font="Wingdings 2" w:char="F09A"/>
            </w:r>
          </w:p>
        </w:tc>
        <w:tc>
          <w:tcPr>
            <w:tcW w:w="496" w:type="pct"/>
            <w:tcBorders>
              <w:top w:val="single" w:sz="4" w:space="0" w:color="auto"/>
              <w:left w:val="single" w:sz="2" w:space="0" w:color="auto"/>
              <w:bottom w:val="single" w:sz="2" w:space="0" w:color="auto"/>
              <w:right w:val="single" w:sz="2" w:space="0" w:color="auto"/>
            </w:tcBorders>
            <w:vAlign w:val="center"/>
          </w:tcPr>
          <w:p w:rsidR="00321234" w:rsidRPr="00CF4B79" w:rsidRDefault="00321234" w:rsidP="00321234">
            <w:pPr>
              <w:jc w:val="center"/>
              <w:rPr>
                <w:sz w:val="20"/>
                <w:szCs w:val="20"/>
              </w:rPr>
            </w:pPr>
            <w:r w:rsidRPr="00CF4B79">
              <w:rPr>
                <w:rFonts w:cstheme="minorHAnsi"/>
                <w:sz w:val="20"/>
                <w:szCs w:val="20"/>
              </w:rPr>
              <w:sym w:font="Wingdings 2" w:char="F09A"/>
            </w:r>
          </w:p>
        </w:tc>
        <w:tc>
          <w:tcPr>
            <w:tcW w:w="497" w:type="pct"/>
            <w:tcBorders>
              <w:top w:val="single" w:sz="4" w:space="0" w:color="auto"/>
              <w:left w:val="single" w:sz="2" w:space="0" w:color="auto"/>
              <w:bottom w:val="single" w:sz="2" w:space="0" w:color="auto"/>
              <w:right w:val="single" w:sz="4" w:space="0" w:color="auto"/>
            </w:tcBorders>
            <w:vAlign w:val="center"/>
          </w:tcPr>
          <w:p w:rsidR="00321234" w:rsidRPr="00CF4B79" w:rsidRDefault="00321234" w:rsidP="00321234">
            <w:pPr>
              <w:jc w:val="center"/>
              <w:rPr>
                <w:sz w:val="20"/>
                <w:szCs w:val="20"/>
              </w:rPr>
            </w:pPr>
            <w:r w:rsidRPr="00CF4B79">
              <w:rPr>
                <w:rFonts w:cstheme="minorHAnsi"/>
                <w:sz w:val="20"/>
                <w:szCs w:val="20"/>
              </w:rPr>
              <w:sym w:font="Wingdings 2" w:char="F09A"/>
            </w:r>
          </w:p>
        </w:tc>
      </w:tr>
      <w:tr w:rsidR="00321234" w:rsidRPr="003D034B" w:rsidTr="00CF4B79">
        <w:trPr>
          <w:trHeight w:val="360"/>
        </w:trPr>
        <w:tc>
          <w:tcPr>
            <w:tcW w:w="2021" w:type="pct"/>
            <w:tcBorders>
              <w:top w:val="single" w:sz="4" w:space="0" w:color="auto"/>
              <w:left w:val="single" w:sz="4" w:space="0" w:color="auto"/>
              <w:bottom w:val="single" w:sz="2" w:space="0" w:color="auto"/>
              <w:right w:val="single" w:sz="2" w:space="0" w:color="auto"/>
            </w:tcBorders>
            <w:vAlign w:val="center"/>
          </w:tcPr>
          <w:p w:rsidR="00321234" w:rsidRPr="00CF4B79" w:rsidRDefault="00321234" w:rsidP="00321234">
            <w:pPr>
              <w:rPr>
                <w:rFonts w:cstheme="minorHAnsi"/>
                <w:sz w:val="20"/>
                <w:szCs w:val="20"/>
              </w:rPr>
            </w:pPr>
            <w:r w:rsidRPr="00CF4B79">
              <w:rPr>
                <w:rFonts w:cstheme="minorHAnsi"/>
                <w:sz w:val="20"/>
                <w:szCs w:val="20"/>
              </w:rPr>
              <w:t>Life &amp; Physical Sciences (030)</w:t>
            </w:r>
          </w:p>
        </w:tc>
        <w:tc>
          <w:tcPr>
            <w:tcW w:w="496" w:type="pct"/>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6" w:type="pct"/>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6" w:type="pct"/>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6" w:type="pct"/>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6" w:type="pct"/>
            <w:tcBorders>
              <w:top w:val="single" w:sz="4" w:space="0" w:color="auto"/>
              <w:left w:val="single" w:sz="2" w:space="0" w:color="auto"/>
              <w:bottom w:val="single" w:sz="2" w:space="0" w:color="auto"/>
              <w:right w:val="single" w:sz="2" w:space="0" w:color="auto"/>
            </w:tcBorders>
            <w:vAlign w:val="center"/>
          </w:tcPr>
          <w:p w:rsidR="00321234" w:rsidRPr="00CF4B79" w:rsidRDefault="00321234" w:rsidP="00321234">
            <w:pPr>
              <w:jc w:val="center"/>
              <w:rPr>
                <w:sz w:val="20"/>
                <w:szCs w:val="20"/>
              </w:rPr>
            </w:pPr>
            <w:r w:rsidRPr="00CF4B79">
              <w:rPr>
                <w:rFonts w:cstheme="minorHAnsi"/>
                <w:sz w:val="20"/>
                <w:szCs w:val="20"/>
              </w:rPr>
              <w:sym w:font="Wingdings 2" w:char="F09A"/>
            </w:r>
          </w:p>
        </w:tc>
        <w:tc>
          <w:tcPr>
            <w:tcW w:w="497" w:type="pct"/>
            <w:tcBorders>
              <w:top w:val="single" w:sz="4" w:space="0" w:color="auto"/>
              <w:left w:val="single" w:sz="2" w:space="0" w:color="auto"/>
              <w:bottom w:val="single" w:sz="2" w:space="0" w:color="auto"/>
              <w:right w:val="single" w:sz="4" w:space="0" w:color="auto"/>
            </w:tcBorders>
            <w:vAlign w:val="center"/>
          </w:tcPr>
          <w:p w:rsidR="00321234" w:rsidRPr="00CF4B79" w:rsidRDefault="00321234" w:rsidP="00321234">
            <w:pPr>
              <w:jc w:val="center"/>
              <w:rPr>
                <w:sz w:val="20"/>
                <w:szCs w:val="20"/>
              </w:rPr>
            </w:pPr>
            <w:r w:rsidRPr="00CF4B79">
              <w:rPr>
                <w:rFonts w:cstheme="minorHAnsi"/>
                <w:sz w:val="20"/>
                <w:szCs w:val="20"/>
              </w:rPr>
              <w:sym w:font="Wingdings 2" w:char="F09A"/>
            </w:r>
          </w:p>
        </w:tc>
      </w:tr>
      <w:tr w:rsidR="00321234" w:rsidRPr="003D034B" w:rsidTr="00CF4B79">
        <w:trPr>
          <w:trHeight w:val="360"/>
        </w:trPr>
        <w:tc>
          <w:tcPr>
            <w:tcW w:w="2021" w:type="pct"/>
            <w:tcBorders>
              <w:top w:val="single" w:sz="4" w:space="0" w:color="auto"/>
              <w:left w:val="single" w:sz="4" w:space="0" w:color="auto"/>
              <w:bottom w:val="single" w:sz="2" w:space="0" w:color="auto"/>
              <w:right w:val="single" w:sz="2" w:space="0" w:color="auto"/>
            </w:tcBorders>
            <w:vAlign w:val="center"/>
          </w:tcPr>
          <w:p w:rsidR="00321234" w:rsidRPr="00CF4B79" w:rsidRDefault="00321234" w:rsidP="00321234">
            <w:pPr>
              <w:rPr>
                <w:rFonts w:cstheme="minorHAnsi"/>
                <w:sz w:val="20"/>
                <w:szCs w:val="20"/>
              </w:rPr>
            </w:pPr>
            <w:r w:rsidRPr="00CF4B79">
              <w:rPr>
                <w:rFonts w:cstheme="minorHAnsi"/>
                <w:sz w:val="20"/>
                <w:szCs w:val="20"/>
              </w:rPr>
              <w:t>Language, Philosophy &amp; Culture (040)</w:t>
            </w:r>
          </w:p>
        </w:tc>
        <w:tc>
          <w:tcPr>
            <w:tcW w:w="496" w:type="pct"/>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6" w:type="pct"/>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6" w:type="pct"/>
            <w:tcBorders>
              <w:top w:val="single" w:sz="4" w:space="0" w:color="auto"/>
              <w:left w:val="single" w:sz="2" w:space="0" w:color="auto"/>
              <w:bottom w:val="single" w:sz="2" w:space="0" w:color="auto"/>
              <w:right w:val="single" w:sz="2" w:space="0" w:color="auto"/>
            </w:tcBorders>
            <w:vAlign w:val="center"/>
          </w:tcPr>
          <w:p w:rsidR="00321234" w:rsidRPr="00CF4B79" w:rsidRDefault="00321234" w:rsidP="00321234">
            <w:pPr>
              <w:jc w:val="center"/>
              <w:rPr>
                <w:sz w:val="20"/>
                <w:szCs w:val="20"/>
              </w:rPr>
            </w:pPr>
            <w:r w:rsidRPr="00CF4B79">
              <w:rPr>
                <w:rFonts w:cstheme="minorHAnsi"/>
                <w:sz w:val="20"/>
                <w:szCs w:val="20"/>
              </w:rPr>
              <w:sym w:font="Wingdings 2" w:char="F09A"/>
            </w:r>
          </w:p>
        </w:tc>
        <w:tc>
          <w:tcPr>
            <w:tcW w:w="496" w:type="pct"/>
            <w:tcBorders>
              <w:top w:val="single" w:sz="4" w:space="0" w:color="auto"/>
              <w:left w:val="single" w:sz="2" w:space="0" w:color="auto"/>
              <w:bottom w:val="single" w:sz="2" w:space="0" w:color="auto"/>
              <w:right w:val="single" w:sz="2" w:space="0" w:color="auto"/>
            </w:tcBorders>
            <w:vAlign w:val="center"/>
          </w:tcPr>
          <w:p w:rsidR="00321234" w:rsidRPr="00CF4B79" w:rsidRDefault="00321234" w:rsidP="00321234">
            <w:pPr>
              <w:jc w:val="center"/>
              <w:rPr>
                <w:rFonts w:cstheme="minorHAnsi"/>
                <w:sz w:val="20"/>
                <w:szCs w:val="20"/>
              </w:rPr>
            </w:pPr>
          </w:p>
        </w:tc>
        <w:tc>
          <w:tcPr>
            <w:tcW w:w="496" w:type="pct"/>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7" w:type="pct"/>
            <w:tcBorders>
              <w:top w:val="single" w:sz="4" w:space="0" w:color="auto"/>
              <w:left w:val="single" w:sz="2" w:space="0" w:color="auto"/>
              <w:bottom w:val="single" w:sz="2" w:space="0" w:color="auto"/>
              <w:right w:val="single" w:sz="4"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r>
      <w:tr w:rsidR="00321234" w:rsidRPr="003D034B" w:rsidTr="00CF4B79">
        <w:trPr>
          <w:trHeight w:val="360"/>
        </w:trPr>
        <w:tc>
          <w:tcPr>
            <w:tcW w:w="2021" w:type="pct"/>
            <w:tcBorders>
              <w:top w:val="single" w:sz="4" w:space="0" w:color="auto"/>
              <w:left w:val="single" w:sz="4" w:space="0" w:color="auto"/>
              <w:bottom w:val="single" w:sz="2" w:space="0" w:color="auto"/>
              <w:right w:val="single" w:sz="2" w:space="0" w:color="auto"/>
            </w:tcBorders>
            <w:vAlign w:val="center"/>
          </w:tcPr>
          <w:p w:rsidR="00321234" w:rsidRPr="00CF4B79" w:rsidRDefault="00321234" w:rsidP="00321234">
            <w:pPr>
              <w:rPr>
                <w:rFonts w:cstheme="minorHAnsi"/>
                <w:sz w:val="20"/>
                <w:szCs w:val="20"/>
              </w:rPr>
            </w:pPr>
            <w:r w:rsidRPr="00CF4B79">
              <w:rPr>
                <w:rFonts w:cstheme="minorHAnsi"/>
                <w:sz w:val="20"/>
                <w:szCs w:val="20"/>
              </w:rPr>
              <w:t>Creative Arts (050)</w:t>
            </w:r>
          </w:p>
        </w:tc>
        <w:tc>
          <w:tcPr>
            <w:tcW w:w="496" w:type="pct"/>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6" w:type="pct"/>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6" w:type="pct"/>
            <w:tcBorders>
              <w:top w:val="single" w:sz="4" w:space="0" w:color="auto"/>
              <w:left w:val="single" w:sz="2" w:space="0" w:color="auto"/>
              <w:bottom w:val="single" w:sz="2" w:space="0" w:color="auto"/>
              <w:right w:val="single" w:sz="2" w:space="0" w:color="auto"/>
            </w:tcBorders>
            <w:vAlign w:val="center"/>
          </w:tcPr>
          <w:p w:rsidR="00321234" w:rsidRPr="00CF4B79" w:rsidRDefault="00321234" w:rsidP="00321234">
            <w:pPr>
              <w:jc w:val="center"/>
              <w:rPr>
                <w:sz w:val="20"/>
                <w:szCs w:val="20"/>
              </w:rPr>
            </w:pPr>
            <w:r w:rsidRPr="00CF4B79">
              <w:rPr>
                <w:rFonts w:cstheme="minorHAnsi"/>
                <w:sz w:val="20"/>
                <w:szCs w:val="20"/>
              </w:rPr>
              <w:sym w:font="Wingdings 2" w:char="F09A"/>
            </w:r>
          </w:p>
        </w:tc>
        <w:tc>
          <w:tcPr>
            <w:tcW w:w="496" w:type="pct"/>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6" w:type="pct"/>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7" w:type="pct"/>
            <w:tcBorders>
              <w:top w:val="single" w:sz="4" w:space="0" w:color="auto"/>
              <w:left w:val="single" w:sz="2" w:space="0" w:color="auto"/>
              <w:bottom w:val="single" w:sz="2" w:space="0" w:color="auto"/>
              <w:right w:val="single" w:sz="4" w:space="0" w:color="auto"/>
            </w:tcBorders>
            <w:vAlign w:val="center"/>
          </w:tcPr>
          <w:p w:rsidR="00321234" w:rsidRPr="00CF4B79" w:rsidRDefault="00321234" w:rsidP="00321234">
            <w:pPr>
              <w:jc w:val="center"/>
              <w:rPr>
                <w:rFonts w:cstheme="minorHAnsi"/>
                <w:sz w:val="20"/>
                <w:szCs w:val="20"/>
              </w:rPr>
            </w:pPr>
            <w:r w:rsidRPr="00CF4B79">
              <w:rPr>
                <w:rFonts w:cstheme="minorHAnsi"/>
                <w:sz w:val="20"/>
                <w:szCs w:val="20"/>
              </w:rPr>
              <w:sym w:font="Wingdings 2" w:char="F09A"/>
            </w:r>
          </w:p>
        </w:tc>
      </w:tr>
      <w:tr w:rsidR="00321234" w:rsidRPr="003D034B" w:rsidTr="00CF4B79">
        <w:trPr>
          <w:trHeight w:val="360"/>
        </w:trPr>
        <w:tc>
          <w:tcPr>
            <w:tcW w:w="2021" w:type="pct"/>
            <w:tcBorders>
              <w:top w:val="single" w:sz="4" w:space="0" w:color="auto"/>
              <w:left w:val="single" w:sz="4" w:space="0" w:color="auto"/>
              <w:bottom w:val="single" w:sz="2" w:space="0" w:color="auto"/>
              <w:right w:val="single" w:sz="2" w:space="0" w:color="auto"/>
            </w:tcBorders>
            <w:vAlign w:val="center"/>
          </w:tcPr>
          <w:p w:rsidR="00321234" w:rsidRPr="00CF4B79" w:rsidRDefault="00321234" w:rsidP="00321234">
            <w:pPr>
              <w:rPr>
                <w:rFonts w:cstheme="minorHAnsi"/>
                <w:sz w:val="20"/>
                <w:szCs w:val="20"/>
              </w:rPr>
            </w:pPr>
            <w:r w:rsidRPr="00CF4B79">
              <w:rPr>
                <w:rFonts w:cstheme="minorHAnsi"/>
                <w:sz w:val="20"/>
                <w:szCs w:val="20"/>
              </w:rPr>
              <w:t>American History (060)</w:t>
            </w:r>
          </w:p>
        </w:tc>
        <w:tc>
          <w:tcPr>
            <w:tcW w:w="496" w:type="pct"/>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6" w:type="pct"/>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6" w:type="pct"/>
            <w:tcBorders>
              <w:top w:val="single" w:sz="4" w:space="0" w:color="auto"/>
              <w:left w:val="single" w:sz="2" w:space="0" w:color="auto"/>
              <w:bottom w:val="single" w:sz="2" w:space="0" w:color="auto"/>
              <w:right w:val="single" w:sz="2" w:space="0" w:color="auto"/>
            </w:tcBorders>
            <w:vAlign w:val="center"/>
          </w:tcPr>
          <w:p w:rsidR="00321234" w:rsidRPr="00CF4B79" w:rsidRDefault="00321234" w:rsidP="00321234">
            <w:pPr>
              <w:jc w:val="center"/>
              <w:rPr>
                <w:sz w:val="20"/>
                <w:szCs w:val="20"/>
              </w:rPr>
            </w:pPr>
            <w:r w:rsidRPr="00CF4B79">
              <w:rPr>
                <w:rFonts w:cstheme="minorHAnsi"/>
                <w:sz w:val="20"/>
                <w:szCs w:val="20"/>
              </w:rPr>
              <w:sym w:font="Wingdings 2" w:char="F09A"/>
            </w:r>
          </w:p>
        </w:tc>
        <w:tc>
          <w:tcPr>
            <w:tcW w:w="496" w:type="pct"/>
            <w:tcBorders>
              <w:top w:val="single" w:sz="4" w:space="0" w:color="auto"/>
              <w:left w:val="single" w:sz="2" w:space="0" w:color="auto"/>
              <w:bottom w:val="single" w:sz="2" w:space="0" w:color="auto"/>
              <w:right w:val="single" w:sz="2" w:space="0" w:color="auto"/>
            </w:tcBorders>
            <w:vAlign w:val="center"/>
          </w:tcPr>
          <w:p w:rsidR="00321234" w:rsidRPr="00CF4B79" w:rsidRDefault="00321234" w:rsidP="00321234">
            <w:pPr>
              <w:jc w:val="center"/>
              <w:rPr>
                <w:sz w:val="20"/>
                <w:szCs w:val="20"/>
              </w:rPr>
            </w:pPr>
            <w:r w:rsidRPr="00CF4B79">
              <w:rPr>
                <w:rFonts w:cstheme="minorHAnsi"/>
                <w:sz w:val="20"/>
                <w:szCs w:val="20"/>
              </w:rPr>
              <w:sym w:font="Wingdings 2" w:char="F09A"/>
            </w:r>
          </w:p>
        </w:tc>
        <w:tc>
          <w:tcPr>
            <w:tcW w:w="496" w:type="pct"/>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7" w:type="pct"/>
            <w:tcBorders>
              <w:top w:val="single" w:sz="4" w:space="0" w:color="auto"/>
              <w:left w:val="single" w:sz="2" w:space="0" w:color="auto"/>
              <w:bottom w:val="single" w:sz="2" w:space="0" w:color="auto"/>
              <w:right w:val="single" w:sz="4"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r>
      <w:tr w:rsidR="00321234" w:rsidRPr="003D034B" w:rsidTr="00CF4B79">
        <w:trPr>
          <w:trHeight w:val="360"/>
        </w:trPr>
        <w:tc>
          <w:tcPr>
            <w:tcW w:w="2021" w:type="pct"/>
            <w:tcBorders>
              <w:top w:val="single" w:sz="4" w:space="0" w:color="auto"/>
              <w:left w:val="single" w:sz="4" w:space="0" w:color="auto"/>
              <w:bottom w:val="single" w:sz="4" w:space="0" w:color="auto"/>
              <w:right w:val="single" w:sz="2" w:space="0" w:color="auto"/>
            </w:tcBorders>
            <w:vAlign w:val="center"/>
          </w:tcPr>
          <w:p w:rsidR="00321234" w:rsidRPr="00CF4B79" w:rsidRDefault="00321234" w:rsidP="00321234">
            <w:pPr>
              <w:rPr>
                <w:rFonts w:cstheme="minorHAnsi"/>
                <w:sz w:val="20"/>
                <w:szCs w:val="20"/>
              </w:rPr>
            </w:pPr>
            <w:r w:rsidRPr="00CF4B79">
              <w:rPr>
                <w:rFonts w:cstheme="minorHAnsi"/>
                <w:sz w:val="20"/>
                <w:szCs w:val="20"/>
              </w:rPr>
              <w:t>Government/Political Science (070)</w:t>
            </w:r>
          </w:p>
        </w:tc>
        <w:tc>
          <w:tcPr>
            <w:tcW w:w="49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6" w:type="pct"/>
            <w:tcBorders>
              <w:top w:val="single" w:sz="4" w:space="0" w:color="auto"/>
              <w:left w:val="single" w:sz="2" w:space="0" w:color="auto"/>
              <w:bottom w:val="single" w:sz="4" w:space="0" w:color="auto"/>
              <w:right w:val="single" w:sz="2" w:space="0" w:color="auto"/>
            </w:tcBorders>
            <w:vAlign w:val="center"/>
          </w:tcPr>
          <w:p w:rsidR="00321234" w:rsidRPr="00CF4B79" w:rsidRDefault="00321234" w:rsidP="00321234">
            <w:pPr>
              <w:jc w:val="center"/>
              <w:rPr>
                <w:sz w:val="20"/>
                <w:szCs w:val="20"/>
              </w:rPr>
            </w:pPr>
            <w:r w:rsidRPr="00CF4B79">
              <w:rPr>
                <w:rFonts w:cstheme="minorHAnsi"/>
                <w:sz w:val="20"/>
                <w:szCs w:val="20"/>
              </w:rPr>
              <w:sym w:font="Wingdings 2" w:char="F09A"/>
            </w:r>
          </w:p>
        </w:tc>
        <w:tc>
          <w:tcPr>
            <w:tcW w:w="496" w:type="pct"/>
            <w:tcBorders>
              <w:top w:val="single" w:sz="4" w:space="0" w:color="auto"/>
              <w:left w:val="single" w:sz="2" w:space="0" w:color="auto"/>
              <w:bottom w:val="single" w:sz="4" w:space="0" w:color="auto"/>
              <w:right w:val="single" w:sz="2" w:space="0" w:color="auto"/>
            </w:tcBorders>
            <w:vAlign w:val="center"/>
          </w:tcPr>
          <w:p w:rsidR="00321234" w:rsidRPr="00CF4B79" w:rsidRDefault="00321234" w:rsidP="00321234">
            <w:pPr>
              <w:jc w:val="center"/>
              <w:rPr>
                <w:sz w:val="20"/>
                <w:szCs w:val="20"/>
              </w:rPr>
            </w:pPr>
            <w:r w:rsidRPr="00CF4B79">
              <w:rPr>
                <w:rFonts w:cstheme="minorHAnsi"/>
                <w:sz w:val="20"/>
                <w:szCs w:val="20"/>
              </w:rPr>
              <w:sym w:font="Wingdings 2" w:char="F09A"/>
            </w:r>
          </w:p>
        </w:tc>
        <w:tc>
          <w:tcPr>
            <w:tcW w:w="49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7" w:type="pct"/>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r>
      <w:tr w:rsidR="00321234" w:rsidRPr="003D034B" w:rsidTr="00CF4B79">
        <w:trPr>
          <w:trHeight w:val="360"/>
        </w:trPr>
        <w:tc>
          <w:tcPr>
            <w:tcW w:w="2021" w:type="pct"/>
            <w:tcBorders>
              <w:top w:val="single" w:sz="4" w:space="0" w:color="auto"/>
              <w:left w:val="single" w:sz="4" w:space="0" w:color="auto"/>
              <w:bottom w:val="double" w:sz="4" w:space="0" w:color="auto"/>
              <w:right w:val="single" w:sz="2" w:space="0" w:color="auto"/>
            </w:tcBorders>
            <w:vAlign w:val="center"/>
          </w:tcPr>
          <w:p w:rsidR="00321234" w:rsidRPr="00CF4B79" w:rsidRDefault="00321234" w:rsidP="00321234">
            <w:pPr>
              <w:rPr>
                <w:rFonts w:cstheme="minorHAnsi"/>
                <w:sz w:val="20"/>
                <w:szCs w:val="20"/>
              </w:rPr>
            </w:pPr>
            <w:r w:rsidRPr="00CF4B79">
              <w:rPr>
                <w:rFonts w:cstheme="minorHAnsi"/>
                <w:sz w:val="20"/>
                <w:szCs w:val="20"/>
              </w:rPr>
              <w:t>Social &amp; Behavioral Sciences (080)</w:t>
            </w:r>
          </w:p>
        </w:tc>
        <w:tc>
          <w:tcPr>
            <w:tcW w:w="496" w:type="pct"/>
            <w:tcBorders>
              <w:top w:val="single" w:sz="4" w:space="0" w:color="auto"/>
              <w:left w:val="single" w:sz="2" w:space="0" w:color="auto"/>
              <w:bottom w:val="double" w:sz="4"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6" w:type="pct"/>
            <w:tcBorders>
              <w:top w:val="single" w:sz="4" w:space="0" w:color="auto"/>
              <w:left w:val="single" w:sz="2" w:space="0" w:color="auto"/>
              <w:bottom w:val="double" w:sz="4"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6" w:type="pct"/>
            <w:tcBorders>
              <w:top w:val="single" w:sz="4" w:space="0" w:color="auto"/>
              <w:left w:val="single" w:sz="2" w:space="0" w:color="auto"/>
              <w:bottom w:val="double" w:sz="4"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6" w:type="pct"/>
            <w:tcBorders>
              <w:top w:val="single" w:sz="4" w:space="0" w:color="auto"/>
              <w:left w:val="single" w:sz="2" w:space="0" w:color="auto"/>
              <w:bottom w:val="double" w:sz="4" w:space="0" w:color="auto"/>
              <w:right w:val="single" w:sz="2" w:space="0" w:color="auto"/>
            </w:tcBorders>
            <w:vAlign w:val="center"/>
          </w:tcPr>
          <w:p w:rsidR="00321234" w:rsidRPr="00CF4B79" w:rsidRDefault="00321234" w:rsidP="00321234">
            <w:pPr>
              <w:jc w:val="center"/>
              <w:rPr>
                <w:sz w:val="20"/>
                <w:szCs w:val="20"/>
              </w:rPr>
            </w:pPr>
            <w:r w:rsidRPr="00CF4B79">
              <w:rPr>
                <w:rFonts w:cstheme="minorHAnsi"/>
                <w:sz w:val="20"/>
                <w:szCs w:val="20"/>
              </w:rPr>
              <w:sym w:font="Wingdings 2" w:char="F09A"/>
            </w:r>
          </w:p>
        </w:tc>
        <w:tc>
          <w:tcPr>
            <w:tcW w:w="496" w:type="pct"/>
            <w:tcBorders>
              <w:top w:val="single" w:sz="4" w:space="0" w:color="auto"/>
              <w:left w:val="single" w:sz="2" w:space="0" w:color="auto"/>
              <w:bottom w:val="double" w:sz="4" w:space="0" w:color="auto"/>
              <w:right w:val="single" w:sz="2" w:space="0" w:color="auto"/>
            </w:tcBorders>
            <w:shd w:val="clear" w:color="auto" w:fill="D9D9D9" w:themeFill="background1" w:themeFillShade="D9"/>
            <w:vAlign w:val="center"/>
          </w:tcPr>
          <w:p w:rsidR="00321234" w:rsidRPr="00CF4B79" w:rsidRDefault="00321234" w:rsidP="00321234">
            <w:pPr>
              <w:jc w:val="center"/>
              <w:rPr>
                <w:sz w:val="20"/>
                <w:szCs w:val="20"/>
              </w:rPr>
            </w:pPr>
            <w:r w:rsidRPr="00CF4B79">
              <w:rPr>
                <w:rFonts w:cstheme="minorHAnsi"/>
                <w:sz w:val="20"/>
                <w:szCs w:val="20"/>
              </w:rPr>
              <w:sym w:font="Wingdings 2" w:char="F098"/>
            </w:r>
          </w:p>
        </w:tc>
        <w:tc>
          <w:tcPr>
            <w:tcW w:w="497" w:type="pct"/>
            <w:tcBorders>
              <w:top w:val="single" w:sz="4" w:space="0" w:color="auto"/>
              <w:left w:val="single" w:sz="2" w:space="0" w:color="auto"/>
              <w:bottom w:val="double" w:sz="4" w:space="0" w:color="auto"/>
              <w:right w:val="single" w:sz="4" w:space="0" w:color="auto"/>
            </w:tcBorders>
            <w:vAlign w:val="center"/>
          </w:tcPr>
          <w:p w:rsidR="00321234" w:rsidRPr="00CF4B79" w:rsidRDefault="00321234" w:rsidP="00321234">
            <w:pPr>
              <w:jc w:val="center"/>
              <w:rPr>
                <w:rFonts w:cstheme="minorHAnsi"/>
                <w:sz w:val="20"/>
                <w:szCs w:val="20"/>
              </w:rPr>
            </w:pPr>
            <w:r w:rsidRPr="00CF4B79">
              <w:rPr>
                <w:rFonts w:cstheme="minorHAnsi"/>
                <w:sz w:val="20"/>
                <w:szCs w:val="20"/>
              </w:rPr>
              <w:sym w:font="Wingdings 2" w:char="F09A"/>
            </w:r>
          </w:p>
        </w:tc>
      </w:tr>
      <w:tr w:rsidR="00321234" w:rsidRPr="003D034B" w:rsidTr="00CF4B79">
        <w:trPr>
          <w:trHeight w:val="360"/>
        </w:trPr>
        <w:tc>
          <w:tcPr>
            <w:tcW w:w="2021" w:type="pct"/>
            <w:tcBorders>
              <w:top w:val="double" w:sz="4" w:space="0" w:color="auto"/>
              <w:left w:val="single" w:sz="4" w:space="0" w:color="auto"/>
              <w:bottom w:val="single" w:sz="2" w:space="0" w:color="auto"/>
              <w:right w:val="single" w:sz="2" w:space="0" w:color="auto"/>
            </w:tcBorders>
            <w:vAlign w:val="center"/>
          </w:tcPr>
          <w:p w:rsidR="00321234" w:rsidRPr="00CF4B79" w:rsidRDefault="00321234" w:rsidP="003D5685">
            <w:pPr>
              <w:rPr>
                <w:rFonts w:cstheme="minorHAnsi"/>
                <w:sz w:val="20"/>
                <w:szCs w:val="20"/>
              </w:rPr>
            </w:pPr>
            <w:r w:rsidRPr="00CF4B79">
              <w:rPr>
                <w:rFonts w:cstheme="minorHAnsi"/>
                <w:sz w:val="20"/>
                <w:szCs w:val="20"/>
              </w:rPr>
              <w:t>Component Area Option (090)</w:t>
            </w:r>
          </w:p>
        </w:tc>
        <w:tc>
          <w:tcPr>
            <w:tcW w:w="496" w:type="pct"/>
            <w:tcBorders>
              <w:top w:val="double" w:sz="4" w:space="0" w:color="auto"/>
              <w:left w:val="single" w:sz="2" w:space="0" w:color="auto"/>
              <w:bottom w:val="single" w:sz="2" w:space="0" w:color="auto"/>
              <w:right w:val="single" w:sz="2" w:space="0" w:color="auto"/>
            </w:tcBorders>
            <w:shd w:val="clear" w:color="auto" w:fill="D9D9D9" w:themeFill="background1" w:themeFillShade="D9"/>
            <w:vAlign w:val="center"/>
          </w:tcPr>
          <w:p w:rsidR="00321234" w:rsidRPr="00CF4B79" w:rsidRDefault="00321234" w:rsidP="003D5685">
            <w:pPr>
              <w:jc w:val="center"/>
              <w:rPr>
                <w:sz w:val="20"/>
                <w:szCs w:val="20"/>
              </w:rPr>
            </w:pPr>
            <w:r w:rsidRPr="00CF4B79">
              <w:rPr>
                <w:rFonts w:cstheme="minorHAnsi"/>
                <w:sz w:val="20"/>
                <w:szCs w:val="20"/>
              </w:rPr>
              <w:sym w:font="Wingdings 2" w:char="F098"/>
            </w:r>
          </w:p>
        </w:tc>
        <w:tc>
          <w:tcPr>
            <w:tcW w:w="496" w:type="pct"/>
            <w:tcBorders>
              <w:top w:val="double" w:sz="4" w:space="0" w:color="auto"/>
              <w:left w:val="single" w:sz="2" w:space="0" w:color="auto"/>
              <w:bottom w:val="single" w:sz="2" w:space="0" w:color="auto"/>
              <w:right w:val="single" w:sz="2" w:space="0" w:color="auto"/>
            </w:tcBorders>
            <w:shd w:val="clear" w:color="auto" w:fill="D9D9D9" w:themeFill="background1" w:themeFillShade="D9"/>
            <w:vAlign w:val="center"/>
          </w:tcPr>
          <w:p w:rsidR="00321234" w:rsidRPr="00CF4B79" w:rsidRDefault="00321234" w:rsidP="003D5685">
            <w:pPr>
              <w:jc w:val="center"/>
              <w:rPr>
                <w:sz w:val="20"/>
                <w:szCs w:val="20"/>
              </w:rPr>
            </w:pPr>
            <w:r w:rsidRPr="00CF4B79">
              <w:rPr>
                <w:rFonts w:cstheme="minorHAnsi"/>
                <w:sz w:val="20"/>
                <w:szCs w:val="20"/>
              </w:rPr>
              <w:sym w:font="Wingdings 2" w:char="F098"/>
            </w:r>
          </w:p>
        </w:tc>
        <w:tc>
          <w:tcPr>
            <w:tcW w:w="496" w:type="pct"/>
            <w:tcBorders>
              <w:top w:val="double" w:sz="4" w:space="0" w:color="auto"/>
              <w:left w:val="single" w:sz="2" w:space="0" w:color="auto"/>
              <w:bottom w:val="single" w:sz="2" w:space="0" w:color="auto"/>
              <w:right w:val="single" w:sz="2" w:space="0" w:color="auto"/>
            </w:tcBorders>
            <w:vAlign w:val="center"/>
          </w:tcPr>
          <w:p w:rsidR="00321234" w:rsidRPr="00CF4B79" w:rsidRDefault="00321234" w:rsidP="003D5685">
            <w:pPr>
              <w:jc w:val="center"/>
              <w:rPr>
                <w:sz w:val="20"/>
                <w:szCs w:val="20"/>
              </w:rPr>
            </w:pPr>
            <w:r w:rsidRPr="00CF4B79">
              <w:rPr>
                <w:rFonts w:cstheme="minorHAnsi"/>
                <w:sz w:val="20"/>
                <w:szCs w:val="20"/>
              </w:rPr>
              <w:sym w:font="Wingdings 2" w:char="F09A"/>
            </w:r>
          </w:p>
        </w:tc>
        <w:tc>
          <w:tcPr>
            <w:tcW w:w="496" w:type="pct"/>
            <w:tcBorders>
              <w:top w:val="double" w:sz="4" w:space="0" w:color="auto"/>
              <w:left w:val="single" w:sz="2" w:space="0" w:color="auto"/>
              <w:bottom w:val="single" w:sz="2" w:space="0" w:color="auto"/>
              <w:right w:val="single" w:sz="2" w:space="0" w:color="auto"/>
            </w:tcBorders>
            <w:vAlign w:val="center"/>
          </w:tcPr>
          <w:p w:rsidR="00321234" w:rsidRPr="00CF4B79" w:rsidRDefault="00321234" w:rsidP="003D5685">
            <w:pPr>
              <w:jc w:val="center"/>
              <w:rPr>
                <w:sz w:val="20"/>
                <w:szCs w:val="20"/>
              </w:rPr>
            </w:pPr>
            <w:r w:rsidRPr="00CF4B79">
              <w:rPr>
                <w:rFonts w:cstheme="minorHAnsi"/>
                <w:sz w:val="20"/>
                <w:szCs w:val="20"/>
              </w:rPr>
              <w:sym w:font="Wingdings 2" w:char="F09A"/>
            </w:r>
          </w:p>
        </w:tc>
        <w:tc>
          <w:tcPr>
            <w:tcW w:w="496" w:type="pct"/>
            <w:tcBorders>
              <w:top w:val="double" w:sz="4" w:space="0" w:color="auto"/>
              <w:left w:val="single" w:sz="2" w:space="0" w:color="auto"/>
              <w:bottom w:val="single" w:sz="2" w:space="0" w:color="auto"/>
              <w:right w:val="single" w:sz="2" w:space="0" w:color="auto"/>
            </w:tcBorders>
            <w:vAlign w:val="center"/>
          </w:tcPr>
          <w:p w:rsidR="00321234" w:rsidRPr="00CF4B79" w:rsidRDefault="00321234" w:rsidP="003D5685">
            <w:pPr>
              <w:jc w:val="center"/>
              <w:rPr>
                <w:sz w:val="20"/>
                <w:szCs w:val="20"/>
              </w:rPr>
            </w:pPr>
            <w:r w:rsidRPr="00CF4B79">
              <w:rPr>
                <w:rFonts w:cstheme="minorHAnsi"/>
                <w:sz w:val="20"/>
                <w:szCs w:val="20"/>
              </w:rPr>
              <w:sym w:font="Wingdings 2" w:char="F09A"/>
            </w:r>
          </w:p>
        </w:tc>
        <w:tc>
          <w:tcPr>
            <w:tcW w:w="497" w:type="pct"/>
            <w:tcBorders>
              <w:top w:val="double" w:sz="4" w:space="0" w:color="auto"/>
              <w:left w:val="single" w:sz="2" w:space="0" w:color="auto"/>
              <w:bottom w:val="single" w:sz="2" w:space="0" w:color="auto"/>
              <w:right w:val="single" w:sz="4" w:space="0" w:color="auto"/>
            </w:tcBorders>
            <w:vAlign w:val="center"/>
          </w:tcPr>
          <w:p w:rsidR="00321234" w:rsidRPr="00CF4B79" w:rsidRDefault="00321234" w:rsidP="003D5685">
            <w:pPr>
              <w:jc w:val="center"/>
              <w:rPr>
                <w:sz w:val="20"/>
                <w:szCs w:val="20"/>
              </w:rPr>
            </w:pPr>
            <w:r w:rsidRPr="00CF4B79">
              <w:rPr>
                <w:rFonts w:cstheme="minorHAnsi"/>
                <w:sz w:val="20"/>
                <w:szCs w:val="20"/>
              </w:rPr>
              <w:sym w:font="Wingdings 2" w:char="F09A"/>
            </w:r>
          </w:p>
        </w:tc>
      </w:tr>
    </w:tbl>
    <w:p w:rsidR="007A717A" w:rsidRPr="003D5685" w:rsidRDefault="003D5685" w:rsidP="003D5685">
      <w:pPr>
        <w:spacing w:after="0" w:line="240" w:lineRule="auto"/>
        <w:rPr>
          <w:rFonts w:cstheme="minorHAnsi"/>
          <w:sz w:val="20"/>
          <w:szCs w:val="20"/>
        </w:rPr>
      </w:pPr>
      <w:r>
        <w:rPr>
          <w:rFonts w:cstheme="minorHAnsi"/>
          <w:b/>
        </w:rPr>
        <w:t xml:space="preserve">        * </w:t>
      </w:r>
      <w:r w:rsidRPr="00321234">
        <w:rPr>
          <w:rFonts w:cstheme="minorHAnsi"/>
          <w:sz w:val="16"/>
          <w:szCs w:val="16"/>
        </w:rPr>
        <w:sym w:font="Wingdings 2" w:char="F098"/>
      </w:r>
      <w:r>
        <w:rPr>
          <w:rFonts w:cstheme="minorHAnsi"/>
          <w:sz w:val="18"/>
          <w:szCs w:val="18"/>
        </w:rPr>
        <w:t xml:space="preserve">=required core objective; </w:t>
      </w:r>
      <w:r w:rsidRPr="00321234">
        <w:rPr>
          <w:rFonts w:cstheme="minorHAnsi"/>
          <w:sz w:val="16"/>
          <w:szCs w:val="16"/>
        </w:rPr>
        <w:sym w:font="Wingdings 2" w:char="F09A"/>
      </w:r>
      <w:r>
        <w:rPr>
          <w:rFonts w:cstheme="minorHAnsi"/>
          <w:sz w:val="18"/>
          <w:szCs w:val="18"/>
        </w:rPr>
        <w:t>=optional core objective</w:t>
      </w:r>
    </w:p>
    <w:p w:rsidR="00A46FD5" w:rsidRDefault="00A46FD5" w:rsidP="00D95EA6">
      <w:pPr>
        <w:spacing w:after="0" w:line="240" w:lineRule="auto"/>
        <w:rPr>
          <w:rFonts w:cstheme="minorHAnsi"/>
          <w:b/>
        </w:rPr>
      </w:pPr>
    </w:p>
    <w:p w:rsidR="00D6557C" w:rsidRPr="00D6557C" w:rsidRDefault="00440A0D" w:rsidP="00D95EA6">
      <w:pPr>
        <w:spacing w:after="0" w:line="240" w:lineRule="auto"/>
        <w:rPr>
          <w:rFonts w:cstheme="minorHAnsi"/>
          <w:b/>
        </w:rPr>
      </w:pPr>
      <w:r>
        <w:rPr>
          <w:rFonts w:cstheme="minorHAnsi"/>
          <w:b/>
        </w:rPr>
        <w:t xml:space="preserve">Determining </w:t>
      </w:r>
      <w:r w:rsidR="00D6557C" w:rsidRPr="00D6557C">
        <w:rPr>
          <w:rFonts w:cstheme="minorHAnsi"/>
          <w:b/>
        </w:rPr>
        <w:t>Suitability of Courses for the Core Curriculum</w:t>
      </w:r>
    </w:p>
    <w:p w:rsidR="00440A0D" w:rsidRDefault="007A717A" w:rsidP="00440A0D">
      <w:pPr>
        <w:pStyle w:val="ListParagraph"/>
        <w:numPr>
          <w:ilvl w:val="0"/>
          <w:numId w:val="5"/>
        </w:numPr>
        <w:spacing w:after="0" w:line="240" w:lineRule="auto"/>
        <w:rPr>
          <w:rFonts w:cstheme="minorHAnsi"/>
        </w:rPr>
      </w:pPr>
      <w:r w:rsidRPr="00440A0D">
        <w:rPr>
          <w:rFonts w:cstheme="minorHAnsi"/>
          <w:b/>
        </w:rPr>
        <w:t>General education courses</w:t>
      </w:r>
      <w:r w:rsidR="00440A0D" w:rsidRPr="00440A0D">
        <w:rPr>
          <w:rFonts w:cstheme="minorHAnsi"/>
        </w:rPr>
        <w:t>—</w:t>
      </w:r>
      <w:r w:rsidRPr="00440A0D">
        <w:rPr>
          <w:rFonts w:cstheme="minorHAnsi"/>
        </w:rPr>
        <w:t xml:space="preserve">TCC courses must meet the SACSCOC general education requirements. The TCC overwhelmingly consists of lower-division courses. If an upper-division course is included, it </w:t>
      </w:r>
      <w:r w:rsidRPr="00440A0D">
        <w:rPr>
          <w:rFonts w:cstheme="minorHAnsi"/>
        </w:rPr>
        <w:lastRenderedPageBreak/>
        <w:t>must not have prerequisites and cannot have a substantial overlap with a lower-division course. The course must not be restricted to a single major or groups of majors, and most importantly, the course must not have advanced and specialized content that is not appropriate for the TCC.</w:t>
      </w:r>
    </w:p>
    <w:p w:rsidR="007A717A" w:rsidRPr="00440A0D" w:rsidRDefault="007A717A" w:rsidP="00440A0D">
      <w:pPr>
        <w:pStyle w:val="ListParagraph"/>
        <w:numPr>
          <w:ilvl w:val="0"/>
          <w:numId w:val="5"/>
        </w:numPr>
        <w:spacing w:after="0" w:line="240" w:lineRule="auto"/>
        <w:rPr>
          <w:rFonts w:cstheme="minorHAnsi"/>
        </w:rPr>
      </w:pPr>
      <w:r w:rsidRPr="00440A0D">
        <w:rPr>
          <w:rFonts w:cstheme="minorHAnsi"/>
          <w:b/>
        </w:rPr>
        <w:t>Adherence to the Academic Course Guide Manual</w:t>
      </w:r>
      <w:r w:rsidR="00440A0D" w:rsidRPr="00440A0D">
        <w:rPr>
          <w:rFonts w:cstheme="minorHAnsi"/>
        </w:rPr>
        <w:t>—</w:t>
      </w:r>
      <w:r w:rsidRPr="00440A0D">
        <w:rPr>
          <w:rFonts w:cstheme="minorHAnsi"/>
        </w:rPr>
        <w:t>The integrity of the Texas Common Course Numbering System and the purpose of content coverage consistent with the descriptions in the ACGM must be followed. An institution may add to the requirements of the ACGM but may not implement changes that would make the course deviate from the purposes outlined in the ACGM.</w:t>
      </w:r>
    </w:p>
    <w:p w:rsidR="00D6557C" w:rsidRPr="00440A0D" w:rsidRDefault="00440A0D" w:rsidP="00440A0D">
      <w:pPr>
        <w:pStyle w:val="ListParagraph"/>
        <w:numPr>
          <w:ilvl w:val="0"/>
          <w:numId w:val="5"/>
        </w:numPr>
        <w:spacing w:after="0" w:line="240" w:lineRule="auto"/>
        <w:rPr>
          <w:rFonts w:cstheme="minorHAnsi"/>
        </w:rPr>
      </w:pPr>
      <w:r w:rsidRPr="00440A0D">
        <w:rPr>
          <w:rFonts w:cstheme="minorHAnsi"/>
          <w:b/>
        </w:rPr>
        <w:t>TCCNS equivalency</w:t>
      </w:r>
      <w:r w:rsidRPr="00440A0D">
        <w:rPr>
          <w:rFonts w:cstheme="minorHAnsi"/>
        </w:rPr>
        <w:t>—</w:t>
      </w:r>
      <w:r w:rsidR="007A717A" w:rsidRPr="00440A0D">
        <w:rPr>
          <w:rFonts w:cstheme="minorHAnsi"/>
        </w:rPr>
        <w:t>Four-year institutions must be mindful that if a course is declared with a TCCNS equivalency that the course is indeed an equivalent course and adheres to the requirements by which two-year institutions offering the course must abide.</w:t>
      </w:r>
    </w:p>
    <w:p w:rsidR="00D6557C" w:rsidRPr="00440A0D" w:rsidRDefault="007A717A" w:rsidP="00440A0D">
      <w:pPr>
        <w:pStyle w:val="ListParagraph"/>
        <w:numPr>
          <w:ilvl w:val="0"/>
          <w:numId w:val="5"/>
        </w:numPr>
        <w:spacing w:after="0" w:line="240" w:lineRule="auto"/>
        <w:rPr>
          <w:rFonts w:cstheme="minorHAnsi"/>
        </w:rPr>
      </w:pPr>
      <w:r w:rsidRPr="00440A0D">
        <w:rPr>
          <w:rFonts w:cstheme="minorHAnsi"/>
          <w:b/>
        </w:rPr>
        <w:t>P</w:t>
      </w:r>
      <w:r w:rsidR="00440A0D" w:rsidRPr="00440A0D">
        <w:rPr>
          <w:rFonts w:cstheme="minorHAnsi"/>
          <w:b/>
        </w:rPr>
        <w:t>re-requisites and co-requisites</w:t>
      </w:r>
      <w:r w:rsidR="00440A0D" w:rsidRPr="00440A0D">
        <w:rPr>
          <w:rFonts w:cstheme="minorHAnsi"/>
        </w:rPr>
        <w:t>—</w:t>
      </w:r>
      <w:r w:rsidRPr="00440A0D">
        <w:rPr>
          <w:rFonts w:cstheme="minorHAnsi"/>
        </w:rPr>
        <w:t xml:space="preserve">Courses may have a prerequisite, with some exceptions. The course must meet SACSCOC general education requirements. No upper-division course will be approved if it is substantially comparable in content and depth of study to a lower-division course in the </w:t>
      </w:r>
      <w:hyperlink r:id="rId8" w:history="1">
        <w:r w:rsidRPr="000E4BBE">
          <w:rPr>
            <w:rStyle w:val="Hyperlink"/>
            <w:rFonts w:cstheme="minorHAnsi"/>
          </w:rPr>
          <w:t xml:space="preserve">Lower-Division Academic Course Guide Manual </w:t>
        </w:r>
      </w:hyperlink>
      <w:r w:rsidRPr="00440A0D">
        <w:rPr>
          <w:rFonts w:cstheme="minorHAnsi"/>
        </w:rPr>
        <w:t>(ACGM). A course with a co-requisite that is not part of the core curriculum is not allowed for the TCC.</w:t>
      </w:r>
    </w:p>
    <w:p w:rsidR="007A717A" w:rsidRPr="00440A0D" w:rsidRDefault="00440A0D" w:rsidP="00440A0D">
      <w:pPr>
        <w:pStyle w:val="ListParagraph"/>
        <w:numPr>
          <w:ilvl w:val="0"/>
          <w:numId w:val="5"/>
        </w:numPr>
        <w:spacing w:after="0" w:line="240" w:lineRule="auto"/>
        <w:rPr>
          <w:rFonts w:cstheme="minorHAnsi"/>
        </w:rPr>
      </w:pPr>
      <w:r w:rsidRPr="00440A0D">
        <w:rPr>
          <w:rFonts w:cstheme="minorHAnsi"/>
          <w:b/>
        </w:rPr>
        <w:t>Skills development courses</w:t>
      </w:r>
      <w:r w:rsidRPr="00440A0D">
        <w:rPr>
          <w:rFonts w:cstheme="minorHAnsi"/>
        </w:rPr>
        <w:t>—</w:t>
      </w:r>
      <w:r w:rsidR="007A717A" w:rsidRPr="00440A0D">
        <w:rPr>
          <w:rFonts w:cstheme="minorHAnsi"/>
        </w:rPr>
        <w:t xml:space="preserve">Certain courses in the ACGM are designated for skills development. The purpose of these courses is to increase a student’s skill in a particular activity. While the activities themselves are important, they do not fulfill the purpose of the TCC. These courses do not fit the TCC, even though they typically require high-level cognitive skills and their curriculum requires cognitive advancement by the student. Even though the courses are not suitable for the TCC, their curriculum design also may require in-depth critical thinking skills, communication skills, teamwork skills, or social and personal responsibility awareness.  </w:t>
      </w:r>
      <w:r w:rsidRPr="00440A0D">
        <w:rPr>
          <w:rFonts w:cstheme="minorHAnsi"/>
        </w:rPr>
        <w:t>Some courses may contain both skills and appreciation or scientific understanding. For these courses to be suitable for the TCC, appreciation or scientific understanding must outweigh skills development.</w:t>
      </w:r>
    </w:p>
    <w:p w:rsidR="007A717A" w:rsidRPr="00440A0D" w:rsidRDefault="00440A0D" w:rsidP="00440A0D">
      <w:pPr>
        <w:pStyle w:val="ListParagraph"/>
        <w:numPr>
          <w:ilvl w:val="0"/>
          <w:numId w:val="5"/>
        </w:numPr>
        <w:spacing w:after="0" w:line="240" w:lineRule="auto"/>
        <w:rPr>
          <w:rFonts w:cstheme="minorHAnsi"/>
        </w:rPr>
      </w:pPr>
      <w:r w:rsidRPr="00440A0D">
        <w:rPr>
          <w:rFonts w:cstheme="minorHAnsi"/>
          <w:b/>
        </w:rPr>
        <w:t>Honors courses with variable topics</w:t>
      </w:r>
      <w:r w:rsidRPr="00440A0D">
        <w:rPr>
          <w:rFonts w:cstheme="minorHAnsi"/>
        </w:rPr>
        <w:t>—Variable topic courses are generally not acceptable for the TCC. However, specifically designed courses such as a</w:t>
      </w:r>
      <w:r>
        <w:rPr>
          <w:rFonts w:cstheme="minorHAnsi"/>
        </w:rPr>
        <w:t>n</w:t>
      </w:r>
      <w:r w:rsidRPr="00440A0D">
        <w:rPr>
          <w:rFonts w:cstheme="minorHAnsi"/>
        </w:rPr>
        <w:t xml:space="preserve"> honors topics course or a</w:t>
      </w:r>
      <w:r>
        <w:rPr>
          <w:rFonts w:cstheme="minorHAnsi"/>
        </w:rPr>
        <w:t>n</w:t>
      </w:r>
      <w:r w:rsidRPr="00440A0D">
        <w:rPr>
          <w:rFonts w:cstheme="minorHAnsi"/>
        </w:rPr>
        <w:t xml:space="preserve"> honors “seminar” with a topic that may vary from year to year may be approved. If the supporting documentation (a) provides a general description of how the course addresses its FCA’s definition and core objective requirements, regardless of topic, and (b) provides an example description of how a special topic is integrated within the general structure of the course.</w:t>
      </w:r>
    </w:p>
    <w:p w:rsidR="007A717A" w:rsidRDefault="00440A0D" w:rsidP="00440A0D">
      <w:pPr>
        <w:pStyle w:val="ListParagraph"/>
        <w:numPr>
          <w:ilvl w:val="0"/>
          <w:numId w:val="5"/>
        </w:numPr>
        <w:spacing w:after="0" w:line="240" w:lineRule="auto"/>
        <w:rPr>
          <w:rFonts w:cstheme="minorHAnsi"/>
        </w:rPr>
      </w:pPr>
      <w:r w:rsidRPr="00440A0D">
        <w:rPr>
          <w:rFonts w:cstheme="minorHAnsi"/>
          <w:b/>
        </w:rPr>
        <w:t>Sufficient breadth of general survey courses</w:t>
      </w:r>
      <w:r w:rsidRPr="00440A0D">
        <w:rPr>
          <w:rFonts w:cstheme="minorHAnsi"/>
        </w:rPr>
        <w:t>—Certain courses suitable for the TCC are survey courses that introduce the student to a wider topic, which will allow the student to make connections between events and ideas. Such a course should not be too narrow, in effect giving the broader course title a specific sub-title. For example, the ACGM course MUSI 1310, “American Music” should not be narrowed to one or two single genre(s) of music.</w:t>
      </w:r>
    </w:p>
    <w:p w:rsidR="00440A0D" w:rsidRPr="00440A0D" w:rsidRDefault="00440A0D" w:rsidP="00440A0D">
      <w:pPr>
        <w:pStyle w:val="ListParagraph"/>
        <w:spacing w:after="0" w:line="240" w:lineRule="auto"/>
        <w:ind w:left="360"/>
        <w:rPr>
          <w:rFonts w:cstheme="minorHAnsi"/>
        </w:rPr>
      </w:pPr>
    </w:p>
    <w:p w:rsidR="005004D3" w:rsidRPr="006F4844" w:rsidRDefault="005004D3" w:rsidP="00D95EA6">
      <w:pPr>
        <w:spacing w:after="0" w:line="240" w:lineRule="auto"/>
        <w:rPr>
          <w:rFonts w:cstheme="minorHAnsi"/>
          <w:b/>
        </w:rPr>
      </w:pPr>
      <w:r w:rsidRPr="006F4844">
        <w:rPr>
          <w:rFonts w:cstheme="minorHAnsi"/>
          <w:b/>
        </w:rPr>
        <w:t>Core Curriculum Request</w:t>
      </w:r>
    </w:p>
    <w:p w:rsidR="005846E0" w:rsidRDefault="005846E0" w:rsidP="00440A0D">
      <w:pPr>
        <w:pStyle w:val="ListParagraph"/>
        <w:numPr>
          <w:ilvl w:val="0"/>
          <w:numId w:val="3"/>
        </w:numPr>
        <w:spacing w:after="0" w:line="240" w:lineRule="auto"/>
        <w:rPr>
          <w:rFonts w:cstheme="minorHAnsi"/>
        </w:rPr>
      </w:pPr>
      <w:r>
        <w:rPr>
          <w:rFonts w:cstheme="minorHAnsi"/>
        </w:rPr>
        <w:t xml:space="preserve">Each institution of higher education must adopt a core curriculum of no less than 42 SCH; core curriculum courses must adhere to the requirements of </w:t>
      </w:r>
      <w:hyperlink r:id="rId9" w:history="1">
        <w:r w:rsidRPr="005846E0">
          <w:rPr>
            <w:rStyle w:val="Hyperlink"/>
            <w:rFonts w:cstheme="minorHAnsi"/>
          </w:rPr>
          <w:t>TAC</w:t>
        </w:r>
        <w:r>
          <w:rPr>
            <w:rStyle w:val="Hyperlink"/>
            <w:rFonts w:cstheme="minorHAnsi"/>
          </w:rPr>
          <w:t xml:space="preserve"> Rule</w:t>
        </w:r>
        <w:r w:rsidRPr="005846E0">
          <w:rPr>
            <w:rStyle w:val="Hyperlink"/>
            <w:rFonts w:cstheme="minorHAnsi"/>
          </w:rPr>
          <w:t xml:space="preserve"> §4.28</w:t>
        </w:r>
      </w:hyperlink>
      <w:r>
        <w:rPr>
          <w:rFonts w:cstheme="minorHAnsi"/>
        </w:rPr>
        <w:t>.</w:t>
      </w:r>
    </w:p>
    <w:p w:rsidR="005004D3" w:rsidRPr="003D034B" w:rsidRDefault="00BA7F99" w:rsidP="00440A0D">
      <w:pPr>
        <w:pStyle w:val="ListParagraph"/>
        <w:numPr>
          <w:ilvl w:val="0"/>
          <w:numId w:val="3"/>
        </w:numPr>
        <w:spacing w:after="0" w:line="240" w:lineRule="auto"/>
        <w:rPr>
          <w:rFonts w:cstheme="minorHAnsi"/>
        </w:rPr>
      </w:pPr>
      <w:r w:rsidRPr="003D034B">
        <w:rPr>
          <w:rFonts w:cstheme="minorHAnsi"/>
        </w:rPr>
        <w:t xml:space="preserve">Because institutions may submit </w:t>
      </w:r>
      <w:r w:rsidR="0021090F" w:rsidRPr="003D034B">
        <w:rPr>
          <w:rFonts w:cstheme="minorHAnsi"/>
        </w:rPr>
        <w:t xml:space="preserve">core curriculum </w:t>
      </w:r>
      <w:r w:rsidRPr="003D034B">
        <w:rPr>
          <w:rFonts w:cstheme="minorHAnsi"/>
        </w:rPr>
        <w:t xml:space="preserve">changes to the </w:t>
      </w:r>
      <w:r w:rsidR="0021090F" w:rsidRPr="003D034B">
        <w:rPr>
          <w:rFonts w:cstheme="minorHAnsi"/>
        </w:rPr>
        <w:t xml:space="preserve">THECB </w:t>
      </w:r>
      <w:r w:rsidR="005846E0">
        <w:rPr>
          <w:rFonts w:cstheme="minorHAnsi"/>
        </w:rPr>
        <w:t xml:space="preserve">only </w:t>
      </w:r>
      <w:r w:rsidRPr="003D034B">
        <w:rPr>
          <w:rFonts w:cstheme="minorHAnsi"/>
        </w:rPr>
        <w:t xml:space="preserve">once per year, </w:t>
      </w:r>
      <w:r w:rsidRPr="00CE3322">
        <w:rPr>
          <w:rFonts w:cstheme="minorHAnsi"/>
          <w:b/>
        </w:rPr>
        <w:t xml:space="preserve">core curriculum requests </w:t>
      </w:r>
      <w:r w:rsidR="00BB1234" w:rsidRPr="00CE3322">
        <w:rPr>
          <w:rFonts w:cstheme="minorHAnsi"/>
          <w:b/>
        </w:rPr>
        <w:t>may</w:t>
      </w:r>
      <w:r w:rsidRPr="00CE3322">
        <w:rPr>
          <w:rFonts w:cstheme="minorHAnsi"/>
          <w:b/>
        </w:rPr>
        <w:t xml:space="preserve"> be submitted </w:t>
      </w:r>
      <w:r w:rsidR="00BB1234" w:rsidRPr="00CE3322">
        <w:rPr>
          <w:rFonts w:cstheme="minorHAnsi"/>
          <w:b/>
        </w:rPr>
        <w:t xml:space="preserve">only </w:t>
      </w:r>
      <w:r w:rsidRPr="00CE3322">
        <w:rPr>
          <w:rFonts w:cstheme="minorHAnsi"/>
          <w:b/>
        </w:rPr>
        <w:t xml:space="preserve">during the </w:t>
      </w:r>
      <w:r w:rsidRPr="00426474">
        <w:rPr>
          <w:rFonts w:cstheme="minorHAnsi"/>
          <w:b/>
          <w:u w:val="single"/>
        </w:rPr>
        <w:t>fall</w:t>
      </w:r>
      <w:r w:rsidRPr="00CE3322">
        <w:rPr>
          <w:rFonts w:cstheme="minorHAnsi"/>
          <w:b/>
        </w:rPr>
        <w:t xml:space="preserve"> curriculum cycle</w:t>
      </w:r>
      <w:r w:rsidRPr="003D034B">
        <w:rPr>
          <w:rFonts w:cstheme="minorHAnsi"/>
        </w:rPr>
        <w:t>.</w:t>
      </w:r>
    </w:p>
    <w:p w:rsidR="005846E0" w:rsidRPr="00BF6C6D" w:rsidRDefault="005846E0" w:rsidP="005846E0">
      <w:pPr>
        <w:pStyle w:val="ListParagraph"/>
        <w:numPr>
          <w:ilvl w:val="0"/>
          <w:numId w:val="3"/>
        </w:numPr>
        <w:spacing w:after="0" w:line="240" w:lineRule="auto"/>
        <w:rPr>
          <w:rFonts w:cstheme="minorHAnsi"/>
        </w:rPr>
      </w:pPr>
      <w:r w:rsidRPr="00BF6C6D">
        <w:rPr>
          <w:rFonts w:cstheme="minorHAnsi"/>
        </w:rPr>
        <w:t>Skills development courses are not suitable for the TCC.</w:t>
      </w:r>
    </w:p>
    <w:p w:rsidR="005846E0" w:rsidRDefault="005846E0" w:rsidP="005846E0">
      <w:pPr>
        <w:pStyle w:val="ListParagraph"/>
        <w:numPr>
          <w:ilvl w:val="0"/>
          <w:numId w:val="3"/>
        </w:numPr>
        <w:spacing w:after="0" w:line="240" w:lineRule="auto"/>
        <w:rPr>
          <w:rFonts w:cstheme="minorHAnsi"/>
        </w:rPr>
      </w:pPr>
      <w:r w:rsidRPr="00BF6C6D">
        <w:rPr>
          <w:rFonts w:cstheme="minorHAnsi"/>
        </w:rPr>
        <w:t>The Foundational Component Area</w:t>
      </w:r>
      <w:r>
        <w:rPr>
          <w:rFonts w:cstheme="minorHAnsi"/>
        </w:rPr>
        <w:t>s</w:t>
      </w:r>
      <w:r w:rsidRPr="00BF6C6D">
        <w:rPr>
          <w:rFonts w:cstheme="minorHAnsi"/>
        </w:rPr>
        <w:t xml:space="preserve"> (FCA) specif</w:t>
      </w:r>
      <w:r>
        <w:rPr>
          <w:rFonts w:cstheme="minorHAnsi"/>
        </w:rPr>
        <w:t>y</w:t>
      </w:r>
      <w:r w:rsidRPr="00BF6C6D">
        <w:rPr>
          <w:rFonts w:cstheme="minorHAnsi"/>
        </w:rPr>
        <w:t xml:space="preserve"> the focus of the content; the required Core Objectives address components with content delivery to facilitate learning.</w:t>
      </w:r>
    </w:p>
    <w:p w:rsidR="005846E0" w:rsidRPr="00BF6C6D" w:rsidRDefault="005846E0" w:rsidP="005846E0">
      <w:pPr>
        <w:pStyle w:val="ListParagraph"/>
        <w:numPr>
          <w:ilvl w:val="0"/>
          <w:numId w:val="3"/>
        </w:numPr>
        <w:spacing w:after="0" w:line="240" w:lineRule="auto"/>
        <w:rPr>
          <w:rFonts w:cstheme="minorHAnsi"/>
        </w:rPr>
      </w:pPr>
      <w:r>
        <w:rPr>
          <w:rFonts w:cstheme="minorHAnsi"/>
        </w:rPr>
        <w:t>The Component Area Option (CAO) must align with the definition and objectives of at least one FCA.</w:t>
      </w:r>
    </w:p>
    <w:p w:rsidR="00636993" w:rsidRPr="005846E0" w:rsidRDefault="005846E0" w:rsidP="00F467F7">
      <w:pPr>
        <w:pStyle w:val="ListParagraph"/>
        <w:numPr>
          <w:ilvl w:val="0"/>
          <w:numId w:val="3"/>
        </w:numPr>
        <w:spacing w:after="0" w:line="240" w:lineRule="auto"/>
        <w:rPr>
          <w:rFonts w:cstheme="minorHAnsi"/>
        </w:rPr>
      </w:pPr>
      <w:r w:rsidRPr="005846E0">
        <w:rPr>
          <w:rFonts w:cstheme="minorHAnsi"/>
        </w:rPr>
        <w:t xml:space="preserve">Submit a detailed syllabus for each core curriculum request (existing and new courses) to </w:t>
      </w:r>
      <w:r w:rsidR="001B7F62">
        <w:rPr>
          <w:rFonts w:cstheme="minorHAnsi"/>
        </w:rPr>
        <w:t xml:space="preserve">the </w:t>
      </w:r>
      <w:r w:rsidRPr="005846E0">
        <w:rPr>
          <w:rFonts w:cstheme="minorHAnsi"/>
        </w:rPr>
        <w:t>chair of the Core Curriculum Committee</w:t>
      </w:r>
      <w:r w:rsidR="001B7F62">
        <w:rPr>
          <w:rFonts w:cstheme="minorHAnsi"/>
        </w:rPr>
        <w:t>, which is the Dean of the Sybil B. Harrington College of Fine Arts and Humanities.</w:t>
      </w:r>
      <w:bookmarkStart w:id="0" w:name="_GoBack"/>
      <w:bookmarkEnd w:id="0"/>
    </w:p>
    <w:p w:rsidR="003D034B" w:rsidRPr="003D034B" w:rsidRDefault="003D034B">
      <w:pPr>
        <w:spacing w:after="0" w:line="240" w:lineRule="auto"/>
        <w:rPr>
          <w:rFonts w:cstheme="minorHAnsi"/>
        </w:rPr>
      </w:pPr>
    </w:p>
    <w:sectPr w:rsidR="003D034B" w:rsidRPr="003D034B" w:rsidSect="00BF322B">
      <w:footerReference w:type="default" r:id="rId10"/>
      <w:headerReference w:type="first" r:id="rId11"/>
      <w:pgSz w:w="12240" w:h="15840" w:code="1"/>
      <w:pgMar w:top="1152" w:right="1440" w:bottom="1008"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60E" w:rsidRDefault="00C6760E" w:rsidP="00C8285A">
      <w:pPr>
        <w:spacing w:after="0" w:line="240" w:lineRule="auto"/>
      </w:pPr>
      <w:r>
        <w:separator/>
      </w:r>
    </w:p>
  </w:endnote>
  <w:endnote w:type="continuationSeparator" w:id="0">
    <w:p w:rsidR="00C6760E" w:rsidRDefault="00C6760E" w:rsidP="00C8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03864216"/>
      <w:docPartObj>
        <w:docPartGallery w:val="Page Numbers (Bottom of Page)"/>
        <w:docPartUnique/>
      </w:docPartObj>
    </w:sdtPr>
    <w:sdtEndPr>
      <w:rPr>
        <w:noProof/>
      </w:rPr>
    </w:sdtEndPr>
    <w:sdtContent>
      <w:p w:rsidR="00535E14" w:rsidRPr="00535E14" w:rsidRDefault="00535E14" w:rsidP="00535E14">
        <w:pPr>
          <w:pStyle w:val="Footer"/>
          <w:rPr>
            <w:sz w:val="18"/>
            <w:szCs w:val="18"/>
          </w:rPr>
        </w:pPr>
        <w:r w:rsidRPr="00535E14">
          <w:rPr>
            <w:sz w:val="18"/>
            <w:szCs w:val="18"/>
          </w:rPr>
          <w:t>Curriculum Guidelines/Information,</w:t>
        </w:r>
        <w:r w:rsidR="005846E0">
          <w:rPr>
            <w:sz w:val="18"/>
            <w:szCs w:val="18"/>
          </w:rPr>
          <w:t xml:space="preserve"> 0</w:t>
        </w:r>
        <w:r w:rsidR="00723AD9">
          <w:rPr>
            <w:sz w:val="18"/>
            <w:szCs w:val="18"/>
          </w:rPr>
          <w:t>4</w:t>
        </w:r>
        <w:r w:rsidR="005846E0">
          <w:rPr>
            <w:sz w:val="18"/>
            <w:szCs w:val="18"/>
          </w:rPr>
          <w:t>/202</w:t>
        </w:r>
        <w:r w:rsidR="00723AD9">
          <w:rPr>
            <w:sz w:val="18"/>
            <w:szCs w:val="18"/>
          </w:rPr>
          <w:t>5</w:t>
        </w:r>
        <w:r w:rsidRPr="00535E14">
          <w:rPr>
            <w:sz w:val="18"/>
            <w:szCs w:val="18"/>
          </w:rPr>
          <w:tab/>
        </w:r>
        <w:r w:rsidRPr="00535E14">
          <w:rPr>
            <w:sz w:val="18"/>
            <w:szCs w:val="18"/>
          </w:rPr>
          <w:tab/>
        </w:r>
        <w:r w:rsidRPr="00535E14">
          <w:rPr>
            <w:sz w:val="18"/>
            <w:szCs w:val="18"/>
          </w:rPr>
          <w:fldChar w:fldCharType="begin"/>
        </w:r>
        <w:r w:rsidRPr="00535E14">
          <w:rPr>
            <w:sz w:val="18"/>
            <w:szCs w:val="18"/>
          </w:rPr>
          <w:instrText xml:space="preserve"> PAGE   \* MERGEFORMAT </w:instrText>
        </w:r>
        <w:r w:rsidRPr="00535E14">
          <w:rPr>
            <w:sz w:val="18"/>
            <w:szCs w:val="18"/>
          </w:rPr>
          <w:fldChar w:fldCharType="separate"/>
        </w:r>
        <w:r w:rsidR="00C27995">
          <w:rPr>
            <w:noProof/>
            <w:sz w:val="18"/>
            <w:szCs w:val="18"/>
          </w:rPr>
          <w:t>3</w:t>
        </w:r>
        <w:r w:rsidRPr="00535E14">
          <w:rPr>
            <w:noProof/>
            <w:sz w:val="18"/>
            <w:szCs w:val="18"/>
          </w:rPr>
          <w:fldChar w:fldCharType="end"/>
        </w:r>
      </w:p>
    </w:sdtContent>
  </w:sdt>
  <w:p w:rsidR="00535E14" w:rsidRDefault="00535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60E" w:rsidRDefault="00C6760E" w:rsidP="00C8285A">
      <w:pPr>
        <w:spacing w:after="0" w:line="240" w:lineRule="auto"/>
      </w:pPr>
      <w:r>
        <w:separator/>
      </w:r>
    </w:p>
  </w:footnote>
  <w:footnote w:type="continuationSeparator" w:id="0">
    <w:p w:rsidR="00C6760E" w:rsidRDefault="00C6760E" w:rsidP="00C82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229" w:rsidRDefault="00920EFA" w:rsidP="00F02229">
    <w:pPr>
      <w:pStyle w:val="Header"/>
      <w:jc w:val="center"/>
    </w:pPr>
    <w:r w:rsidRPr="00920EFA">
      <w:rPr>
        <w:noProof/>
      </w:rPr>
      <w:drawing>
        <wp:inline distT="0" distB="0" distL="0" distR="0">
          <wp:extent cx="3035808" cy="402336"/>
          <wp:effectExtent l="0" t="0" r="0" b="0"/>
          <wp:docPr id="2" name="Picture 2" descr="C:\Users\slallen\AppData\Local\Temp\1\Temp1_Spirit-Horizontal Logo-1.zip\Spirit-Horizontal Logo\Digital\SPIRIT-StackedLogoNEW-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llen\AppData\Local\Temp\1\Temp1_Spirit-Horizontal Logo-1.zip\Spirit-Horizontal Logo\Digital\SPIRIT-StackedLogoNEW-dig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808" cy="4023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D44FF"/>
    <w:multiLevelType w:val="hybridMultilevel"/>
    <w:tmpl w:val="269208DE"/>
    <w:lvl w:ilvl="0" w:tplc="F21A57A0">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453425"/>
    <w:multiLevelType w:val="hybridMultilevel"/>
    <w:tmpl w:val="BE6E2E0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42DCA"/>
    <w:multiLevelType w:val="hybridMultilevel"/>
    <w:tmpl w:val="D816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B6D7C"/>
    <w:multiLevelType w:val="hybridMultilevel"/>
    <w:tmpl w:val="6B287C86"/>
    <w:lvl w:ilvl="0" w:tplc="F21A57A0">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B961EB"/>
    <w:multiLevelType w:val="hybridMultilevel"/>
    <w:tmpl w:val="49A250B4"/>
    <w:lvl w:ilvl="0" w:tplc="F21A57A0">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A16400"/>
    <w:multiLevelType w:val="multilevel"/>
    <w:tmpl w:val="EFC29758"/>
    <w:lvl w:ilvl="0">
      <w:start w:val="1"/>
      <w:numFmt w:val="bullet"/>
      <w:lvlText w:val="•"/>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7D1572E5"/>
    <w:multiLevelType w:val="hybridMultilevel"/>
    <w:tmpl w:val="BEDEF9B0"/>
    <w:lvl w:ilvl="0" w:tplc="095C7E68">
      <w:start w:val="1"/>
      <w:numFmt w:val="bullet"/>
      <w:lvlText w:val=""/>
      <w:lvlJc w:val="left"/>
      <w:pPr>
        <w:ind w:left="705" w:hanging="360"/>
      </w:pPr>
      <w:rPr>
        <w:rFonts w:ascii="Symbol" w:eastAsiaTheme="minorHAnsi" w:hAnsi="Symbol" w:cstheme="minorHAns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6"/>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0tjA3MDYytDCxMDVT0lEKTi0uzszPAykwqgUAZmRkkSwAAAA="/>
  </w:docVars>
  <w:rsids>
    <w:rsidRoot w:val="00C8285A"/>
    <w:rsid w:val="0003474F"/>
    <w:rsid w:val="0004421F"/>
    <w:rsid w:val="00063787"/>
    <w:rsid w:val="00081AD4"/>
    <w:rsid w:val="000E4BBE"/>
    <w:rsid w:val="00193502"/>
    <w:rsid w:val="001B25C7"/>
    <w:rsid w:val="001B6A2D"/>
    <w:rsid w:val="001B7F62"/>
    <w:rsid w:val="001C23D7"/>
    <w:rsid w:val="0021090F"/>
    <w:rsid w:val="00210997"/>
    <w:rsid w:val="00215B6F"/>
    <w:rsid w:val="00217C04"/>
    <w:rsid w:val="00241430"/>
    <w:rsid w:val="00252137"/>
    <w:rsid w:val="00260D84"/>
    <w:rsid w:val="002A3EE2"/>
    <w:rsid w:val="002A6EE4"/>
    <w:rsid w:val="002C2C5C"/>
    <w:rsid w:val="00321234"/>
    <w:rsid w:val="00337132"/>
    <w:rsid w:val="00340CFC"/>
    <w:rsid w:val="00353A4B"/>
    <w:rsid w:val="00361BD8"/>
    <w:rsid w:val="0038298C"/>
    <w:rsid w:val="003D034B"/>
    <w:rsid w:val="003D5685"/>
    <w:rsid w:val="003D7B8E"/>
    <w:rsid w:val="003F678E"/>
    <w:rsid w:val="0042327F"/>
    <w:rsid w:val="00426474"/>
    <w:rsid w:val="004307A0"/>
    <w:rsid w:val="00440227"/>
    <w:rsid w:val="00440A0D"/>
    <w:rsid w:val="004549C0"/>
    <w:rsid w:val="00474B5A"/>
    <w:rsid w:val="004B13AD"/>
    <w:rsid w:val="004C67B8"/>
    <w:rsid w:val="005004D3"/>
    <w:rsid w:val="005170D7"/>
    <w:rsid w:val="00535E14"/>
    <w:rsid w:val="0054762E"/>
    <w:rsid w:val="005846E0"/>
    <w:rsid w:val="005A5BCF"/>
    <w:rsid w:val="005C03B2"/>
    <w:rsid w:val="005D0A71"/>
    <w:rsid w:val="0062161A"/>
    <w:rsid w:val="00636993"/>
    <w:rsid w:val="00643397"/>
    <w:rsid w:val="00670ABE"/>
    <w:rsid w:val="006B1858"/>
    <w:rsid w:val="006D36BE"/>
    <w:rsid w:val="006E00AF"/>
    <w:rsid w:val="006E6E1E"/>
    <w:rsid w:val="006F4844"/>
    <w:rsid w:val="006F65AE"/>
    <w:rsid w:val="00722BF0"/>
    <w:rsid w:val="00723AD9"/>
    <w:rsid w:val="00772A3F"/>
    <w:rsid w:val="00772B30"/>
    <w:rsid w:val="0079106E"/>
    <w:rsid w:val="007A717A"/>
    <w:rsid w:val="007D7BF6"/>
    <w:rsid w:val="007E1D86"/>
    <w:rsid w:val="007E6E3B"/>
    <w:rsid w:val="007F25FC"/>
    <w:rsid w:val="008031E7"/>
    <w:rsid w:val="00824459"/>
    <w:rsid w:val="008511EA"/>
    <w:rsid w:val="0086028C"/>
    <w:rsid w:val="00874B4F"/>
    <w:rsid w:val="00892DB4"/>
    <w:rsid w:val="009131C4"/>
    <w:rsid w:val="00920EFA"/>
    <w:rsid w:val="00922341"/>
    <w:rsid w:val="009668E4"/>
    <w:rsid w:val="0097558A"/>
    <w:rsid w:val="009769D7"/>
    <w:rsid w:val="009A3657"/>
    <w:rsid w:val="009A4F1D"/>
    <w:rsid w:val="009C4A40"/>
    <w:rsid w:val="009D1B76"/>
    <w:rsid w:val="00A1390C"/>
    <w:rsid w:val="00A46FD5"/>
    <w:rsid w:val="00A51A81"/>
    <w:rsid w:val="00A930A1"/>
    <w:rsid w:val="00AF5794"/>
    <w:rsid w:val="00B473A9"/>
    <w:rsid w:val="00B82A99"/>
    <w:rsid w:val="00BA7F99"/>
    <w:rsid w:val="00BB1234"/>
    <w:rsid w:val="00BF322B"/>
    <w:rsid w:val="00BF6C6D"/>
    <w:rsid w:val="00C017D2"/>
    <w:rsid w:val="00C11ED4"/>
    <w:rsid w:val="00C13B07"/>
    <w:rsid w:val="00C25186"/>
    <w:rsid w:val="00C27995"/>
    <w:rsid w:val="00C4094D"/>
    <w:rsid w:val="00C53A6C"/>
    <w:rsid w:val="00C624FE"/>
    <w:rsid w:val="00C64E7A"/>
    <w:rsid w:val="00C6760E"/>
    <w:rsid w:val="00C7462C"/>
    <w:rsid w:val="00C74B8C"/>
    <w:rsid w:val="00C8285A"/>
    <w:rsid w:val="00CA0210"/>
    <w:rsid w:val="00CC7138"/>
    <w:rsid w:val="00CD52B2"/>
    <w:rsid w:val="00CE3322"/>
    <w:rsid w:val="00CF4B79"/>
    <w:rsid w:val="00D136E7"/>
    <w:rsid w:val="00D156EE"/>
    <w:rsid w:val="00D2478A"/>
    <w:rsid w:val="00D6557C"/>
    <w:rsid w:val="00D71290"/>
    <w:rsid w:val="00D83A29"/>
    <w:rsid w:val="00D95EA6"/>
    <w:rsid w:val="00DC5B9F"/>
    <w:rsid w:val="00DF1A39"/>
    <w:rsid w:val="00E1172F"/>
    <w:rsid w:val="00E52FDF"/>
    <w:rsid w:val="00E6496F"/>
    <w:rsid w:val="00E841F9"/>
    <w:rsid w:val="00E86198"/>
    <w:rsid w:val="00ED5330"/>
    <w:rsid w:val="00EE1A37"/>
    <w:rsid w:val="00F02229"/>
    <w:rsid w:val="00F05B89"/>
    <w:rsid w:val="00F211E4"/>
    <w:rsid w:val="00F2686B"/>
    <w:rsid w:val="00F70905"/>
    <w:rsid w:val="00F91717"/>
    <w:rsid w:val="00FB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598B5FE"/>
  <w15:chartTrackingRefBased/>
  <w15:docId w15:val="{920EABB1-7E12-4219-9E36-5A66DC71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5">
    <w:name w:val="Style15"/>
    <w:basedOn w:val="DefaultParagraphFont"/>
    <w:uiPriority w:val="1"/>
    <w:qFormat/>
    <w:rsid w:val="00892DB4"/>
    <w:rPr>
      <w:rFonts w:ascii="Calibri" w:hAnsi="Calibri"/>
      <w:i/>
      <w:sz w:val="22"/>
    </w:rPr>
  </w:style>
  <w:style w:type="paragraph" w:styleId="Header">
    <w:name w:val="header"/>
    <w:basedOn w:val="Normal"/>
    <w:link w:val="HeaderChar"/>
    <w:uiPriority w:val="99"/>
    <w:unhideWhenUsed/>
    <w:rsid w:val="00C82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85A"/>
  </w:style>
  <w:style w:type="paragraph" w:styleId="Footer">
    <w:name w:val="footer"/>
    <w:basedOn w:val="Normal"/>
    <w:link w:val="FooterChar"/>
    <w:uiPriority w:val="99"/>
    <w:unhideWhenUsed/>
    <w:rsid w:val="00C82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85A"/>
  </w:style>
  <w:style w:type="paragraph" w:styleId="ListParagraph">
    <w:name w:val="List Paragraph"/>
    <w:basedOn w:val="Normal"/>
    <w:uiPriority w:val="34"/>
    <w:qFormat/>
    <w:rsid w:val="00C8285A"/>
    <w:pPr>
      <w:ind w:left="720"/>
      <w:contextualSpacing/>
    </w:pPr>
  </w:style>
  <w:style w:type="paragraph" w:styleId="BodyText">
    <w:name w:val="Body Text"/>
    <w:basedOn w:val="Normal"/>
    <w:link w:val="BodyTextChar"/>
    <w:uiPriority w:val="1"/>
    <w:qFormat/>
    <w:rsid w:val="00C53A6C"/>
    <w:pPr>
      <w:widowControl w:val="0"/>
      <w:spacing w:after="0" w:line="240" w:lineRule="auto"/>
      <w:ind w:left="2165"/>
    </w:pPr>
    <w:rPr>
      <w:rFonts w:ascii="Garamond" w:eastAsia="Garamond" w:hAnsi="Garamond"/>
      <w:sz w:val="20"/>
      <w:szCs w:val="20"/>
    </w:rPr>
  </w:style>
  <w:style w:type="character" w:customStyle="1" w:styleId="BodyTextChar">
    <w:name w:val="Body Text Char"/>
    <w:basedOn w:val="DefaultParagraphFont"/>
    <w:link w:val="BodyText"/>
    <w:uiPriority w:val="1"/>
    <w:rsid w:val="00C53A6C"/>
    <w:rPr>
      <w:rFonts w:ascii="Garamond" w:eastAsia="Garamond" w:hAnsi="Garamond"/>
      <w:sz w:val="20"/>
      <w:szCs w:val="20"/>
    </w:rPr>
  </w:style>
  <w:style w:type="character" w:styleId="Hyperlink">
    <w:name w:val="Hyperlink"/>
    <w:basedOn w:val="DefaultParagraphFont"/>
    <w:uiPriority w:val="99"/>
    <w:unhideWhenUsed/>
    <w:rsid w:val="002A6EE4"/>
    <w:rPr>
      <w:color w:val="0563C1" w:themeColor="hyperlink"/>
      <w:u w:val="single"/>
    </w:rPr>
  </w:style>
  <w:style w:type="character" w:styleId="FollowedHyperlink">
    <w:name w:val="FollowedHyperlink"/>
    <w:basedOn w:val="DefaultParagraphFont"/>
    <w:uiPriority w:val="99"/>
    <w:semiHidden/>
    <w:unhideWhenUsed/>
    <w:rsid w:val="002A3EE2"/>
    <w:rPr>
      <w:color w:val="954F72" w:themeColor="followedHyperlink"/>
      <w:u w:val="single"/>
    </w:rPr>
  </w:style>
  <w:style w:type="paragraph" w:styleId="NormalWeb">
    <w:name w:val="Normal (Web)"/>
    <w:basedOn w:val="Normal"/>
    <w:uiPriority w:val="99"/>
    <w:semiHidden/>
    <w:unhideWhenUsed/>
    <w:rsid w:val="00D95E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5EA6"/>
    <w:rPr>
      <w:b/>
      <w:bCs/>
    </w:rPr>
  </w:style>
  <w:style w:type="table" w:styleId="TableGrid">
    <w:name w:val="Table Grid"/>
    <w:basedOn w:val="TableNormal"/>
    <w:uiPriority w:val="39"/>
    <w:rsid w:val="003D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3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277181">
      <w:bodyDiv w:val="1"/>
      <w:marLeft w:val="0"/>
      <w:marRight w:val="0"/>
      <w:marTop w:val="0"/>
      <w:marBottom w:val="0"/>
      <w:divBdr>
        <w:top w:val="none" w:sz="0" w:space="0" w:color="auto"/>
        <w:left w:val="none" w:sz="0" w:space="0" w:color="auto"/>
        <w:bottom w:val="none" w:sz="0" w:space="0" w:color="auto"/>
        <w:right w:val="none" w:sz="0" w:space="0" w:color="auto"/>
      </w:divBdr>
    </w:div>
    <w:div w:id="176144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ard.thecb.state.tx.us/apps/WorkforceEd/acgm/acgm.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xreg.sos.state.tx.us/public/readtac$ext.TacPage?sl=R&amp;app=9&amp;p_dir=&amp;p_rloc=&amp;p_tloc=&amp;p_ploc=&amp;pg=1&amp;p_tac=&amp;ti=19&amp;pt=1&amp;ch=4&amp;rl=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7FDCB-EA9D-4A77-962C-FD3FD5BC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Susan</dc:creator>
  <cp:keywords/>
  <dc:description/>
  <cp:lastModifiedBy>White, Melissa L.</cp:lastModifiedBy>
  <cp:revision>6</cp:revision>
  <dcterms:created xsi:type="dcterms:W3CDTF">2020-08-14T13:40:00Z</dcterms:created>
  <dcterms:modified xsi:type="dcterms:W3CDTF">2025-06-11T16:18:00Z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80e953-9b6b-468f-8427-2c8321bc8283_Enabled">
    <vt:lpwstr>true</vt:lpwstr>
  </property>
  <property fmtid="{D5CDD505-2E9C-101B-9397-08002B2CF9AE}" pid="3" name="MSIP_Label_ca80e953-9b6b-468f-8427-2c8321bc8283_SetDate">
    <vt:lpwstr>2024-08-12T15:29:04Z</vt:lpwstr>
  </property>
  <property fmtid="{D5CDD505-2E9C-101B-9397-08002B2CF9AE}" pid="4" name="MSIP_Label_ca80e953-9b6b-468f-8427-2c8321bc8283_Method">
    <vt:lpwstr>Standard</vt:lpwstr>
  </property>
  <property fmtid="{D5CDD505-2E9C-101B-9397-08002B2CF9AE}" pid="5" name="MSIP_Label_ca80e953-9b6b-468f-8427-2c8321bc8283_Name">
    <vt:lpwstr>University-Internal</vt:lpwstr>
  </property>
  <property fmtid="{D5CDD505-2E9C-101B-9397-08002B2CF9AE}" pid="6" name="MSIP_Label_ca80e953-9b6b-468f-8427-2c8321bc8283_SiteId">
    <vt:lpwstr>eed99d2e-3551-4ec5-9e90-10a7ff3e13a2</vt:lpwstr>
  </property>
  <property fmtid="{D5CDD505-2E9C-101B-9397-08002B2CF9AE}" pid="7" name="MSIP_Label_ca80e953-9b6b-468f-8427-2c8321bc8283_ActionId">
    <vt:lpwstr>f61bd3fe-27a5-4d20-b38a-287d85691eb5</vt:lpwstr>
  </property>
  <property fmtid="{D5CDD505-2E9C-101B-9397-08002B2CF9AE}" pid="8" name="MSIP_Label_ca80e953-9b6b-468f-8427-2c8321bc8283_ContentBits">
    <vt:lpwstr>0</vt:lpwstr>
  </property>
</Properties>
</file>